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609" w:rsidRPr="00657800" w:rsidRDefault="00760609" w:rsidP="0036654E">
      <w:pPr>
        <w:widowControl w:val="0"/>
        <w:ind w:left="284" w:hanging="142"/>
        <w:jc w:val="center"/>
        <w:rPr>
          <w:b/>
          <w:spacing w:val="-4"/>
          <w:sz w:val="32"/>
          <w:szCs w:val="32"/>
          <w:lang w:val="en-US"/>
        </w:rPr>
      </w:pPr>
      <w:r w:rsidRPr="00657800">
        <w:rPr>
          <w:b/>
          <w:spacing w:val="-4"/>
          <w:sz w:val="32"/>
          <w:szCs w:val="32"/>
          <w:lang w:val="en-US"/>
        </w:rPr>
        <w:t xml:space="preserve">PANDEMIYA  </w:t>
      </w:r>
      <w:r w:rsidRPr="00657800">
        <w:rPr>
          <w:b/>
          <w:spacing w:val="-4"/>
          <w:sz w:val="32"/>
          <w:szCs w:val="32"/>
          <w:lang w:val="uz-Cyrl-UZ"/>
        </w:rPr>
        <w:t xml:space="preserve">SHAROITIDA </w:t>
      </w:r>
      <w:r w:rsidRPr="00657800">
        <w:rPr>
          <w:b/>
          <w:spacing w:val="-4"/>
          <w:sz w:val="32"/>
          <w:szCs w:val="32"/>
          <w:lang w:val="en-US"/>
        </w:rPr>
        <w:t>O‘ZBEKISTON RESPUBLIKASIDA</w:t>
      </w:r>
      <w:r w:rsidRPr="00657800">
        <w:rPr>
          <w:b/>
          <w:spacing w:val="-4"/>
          <w:sz w:val="32"/>
          <w:szCs w:val="32"/>
          <w:lang w:val="uz-Cyrl-UZ"/>
        </w:rPr>
        <w:t xml:space="preserve"> INVESTITSION FAOLLIKNI OSHIRISHNING AYRIM JIHATLARI</w:t>
      </w:r>
    </w:p>
    <w:p w:rsidR="00760609" w:rsidRPr="0057507A" w:rsidRDefault="00760609" w:rsidP="003C4BA9">
      <w:pPr>
        <w:widowControl w:val="0"/>
        <w:ind w:firstLine="708"/>
        <w:jc w:val="center"/>
        <w:rPr>
          <w:b/>
          <w:spacing w:val="-4"/>
          <w:szCs w:val="28"/>
          <w:lang w:val="en-US"/>
        </w:rPr>
      </w:pPr>
    </w:p>
    <w:p w:rsidR="00657800" w:rsidRPr="00657800" w:rsidRDefault="00657800" w:rsidP="00657800">
      <w:pPr>
        <w:widowControl w:val="0"/>
        <w:jc w:val="center"/>
        <w:rPr>
          <w:b/>
          <w:lang w:val="uz-Latn-UZ" w:eastAsia="en-US"/>
        </w:rPr>
      </w:pPr>
      <w:r w:rsidRPr="00657800">
        <w:rPr>
          <w:b/>
          <w:lang w:val="uz-Latn-UZ" w:eastAsia="en-US"/>
        </w:rPr>
        <w:t>Raximova M.X.</w:t>
      </w:r>
    </w:p>
    <w:p w:rsidR="00760609" w:rsidRPr="00657800" w:rsidRDefault="00760609" w:rsidP="00657800">
      <w:pPr>
        <w:widowControl w:val="0"/>
        <w:jc w:val="center"/>
        <w:rPr>
          <w:lang w:val="uz-Latn-UZ" w:eastAsia="en-US"/>
        </w:rPr>
      </w:pPr>
      <w:r w:rsidRPr="00657800">
        <w:rPr>
          <w:lang w:val="uz-Latn-UZ" w:eastAsia="en-US"/>
        </w:rPr>
        <w:t>Namangan davlat universiteti Ingliz filologiyasi</w:t>
      </w:r>
    </w:p>
    <w:p w:rsidR="00760609" w:rsidRPr="00657800" w:rsidRDefault="00760609" w:rsidP="00657800">
      <w:pPr>
        <w:widowControl w:val="0"/>
        <w:jc w:val="center"/>
        <w:rPr>
          <w:lang w:val="uz-Latn-UZ" w:eastAsia="en-US"/>
        </w:rPr>
      </w:pPr>
      <w:r w:rsidRPr="00657800">
        <w:rPr>
          <w:lang w:val="uz-Latn-UZ" w:eastAsia="en-US"/>
        </w:rPr>
        <w:t>fakulteti Xorijiy til va adabiyoti yo‘nalishi</w:t>
      </w:r>
    </w:p>
    <w:p w:rsidR="00760609" w:rsidRPr="00657800" w:rsidRDefault="00760609" w:rsidP="00657800">
      <w:pPr>
        <w:widowControl w:val="0"/>
        <w:jc w:val="center"/>
        <w:rPr>
          <w:lang w:val="uz-Latn-UZ" w:eastAsia="en-US"/>
        </w:rPr>
      </w:pPr>
      <w:r w:rsidRPr="00657800">
        <w:rPr>
          <w:lang w:val="uz-Latn-UZ" w:eastAsia="en-US"/>
        </w:rPr>
        <w:t>3-bosqich talabasi</w:t>
      </w:r>
    </w:p>
    <w:p w:rsidR="00760609" w:rsidRPr="0057507A" w:rsidRDefault="00760609" w:rsidP="0057507A">
      <w:pPr>
        <w:widowControl w:val="0"/>
        <w:spacing w:line="360" w:lineRule="auto"/>
        <w:ind w:firstLine="708"/>
        <w:jc w:val="right"/>
        <w:rPr>
          <w:b/>
          <w:spacing w:val="-4"/>
          <w:szCs w:val="28"/>
          <w:lang w:val="uz-Latn-UZ"/>
        </w:rPr>
      </w:pPr>
    </w:p>
    <w:p w:rsidR="00657800" w:rsidRDefault="00760609" w:rsidP="00657800">
      <w:pPr>
        <w:widowControl w:val="0"/>
        <w:jc w:val="both"/>
        <w:rPr>
          <w:b/>
          <w:spacing w:val="-4"/>
          <w:szCs w:val="28"/>
          <w:lang w:val="uz-Latn-UZ"/>
        </w:rPr>
      </w:pPr>
      <w:r w:rsidRPr="0057507A">
        <w:rPr>
          <w:b/>
          <w:spacing w:val="-4"/>
          <w:szCs w:val="28"/>
          <w:lang w:val="uz-Latn-UZ"/>
        </w:rPr>
        <w:t xml:space="preserve">Annotatsiya. </w:t>
      </w:r>
    </w:p>
    <w:p w:rsidR="00760609" w:rsidRDefault="00760609" w:rsidP="00657800">
      <w:pPr>
        <w:widowControl w:val="0"/>
        <w:ind w:firstLine="708"/>
        <w:jc w:val="both"/>
        <w:rPr>
          <w:spacing w:val="-4"/>
          <w:sz w:val="24"/>
          <w:lang w:val="uz-Latn-UZ"/>
        </w:rPr>
      </w:pPr>
      <w:r w:rsidRPr="00657800">
        <w:rPr>
          <w:spacing w:val="-4"/>
          <w:sz w:val="24"/>
          <w:lang w:val="uz-Latn-UZ"/>
        </w:rPr>
        <w:t>Ushbu maqolada O‘zbekiston Respublikasida va dunyo miqyosida ro‘y berayotgan iqtisodiy xarakatsizlik inqirozi oqibatida yuzaga kelishi mumkin bo‘lgan muammolar va iqtisodiy ko‘rsatkichlarning o‘zgarishi, shuningdek mamlakatimizda iqtisodiy inqiroz sharoitida investitsion faollikni oshirishga qaratilgan chora tadbirlar hamda ularning axamiyati va shu sohada hal qilinishi kerak bo‘lgan muammolar yoritib berilgan.</w:t>
      </w:r>
    </w:p>
    <w:p w:rsidR="00657800" w:rsidRPr="00657800" w:rsidRDefault="00657800" w:rsidP="00657800">
      <w:pPr>
        <w:widowControl w:val="0"/>
        <w:ind w:firstLine="708"/>
        <w:jc w:val="both"/>
        <w:rPr>
          <w:spacing w:val="-4"/>
          <w:sz w:val="24"/>
          <w:lang w:val="uz-Latn-UZ"/>
        </w:rPr>
      </w:pPr>
    </w:p>
    <w:p w:rsidR="00657800" w:rsidRDefault="00760609" w:rsidP="00657800">
      <w:pPr>
        <w:widowControl w:val="0"/>
        <w:jc w:val="both"/>
        <w:rPr>
          <w:spacing w:val="-4"/>
          <w:szCs w:val="28"/>
          <w:lang w:val="uz-Latn-UZ"/>
        </w:rPr>
      </w:pPr>
      <w:r w:rsidRPr="0057507A">
        <w:rPr>
          <w:b/>
          <w:spacing w:val="-4"/>
          <w:szCs w:val="28"/>
          <w:lang w:val="uz-Latn-UZ"/>
        </w:rPr>
        <w:t>Kalit so‘zlar</w:t>
      </w:r>
      <w:r w:rsidRPr="0057507A">
        <w:rPr>
          <w:spacing w:val="-4"/>
          <w:szCs w:val="28"/>
          <w:lang w:val="uz-Latn-UZ"/>
        </w:rPr>
        <w:t xml:space="preserve"> </w:t>
      </w:r>
    </w:p>
    <w:p w:rsidR="00760609" w:rsidRPr="00657800" w:rsidRDefault="00760609" w:rsidP="00657800">
      <w:pPr>
        <w:widowControl w:val="0"/>
        <w:ind w:firstLine="708"/>
        <w:jc w:val="both"/>
        <w:rPr>
          <w:spacing w:val="-4"/>
          <w:sz w:val="24"/>
          <w:lang w:val="uz-Latn-UZ"/>
        </w:rPr>
      </w:pPr>
      <w:r w:rsidRPr="00657800">
        <w:rPr>
          <w:spacing w:val="-4"/>
          <w:sz w:val="24"/>
          <w:lang w:val="uz-Latn-UZ"/>
        </w:rPr>
        <w:t>jahon iqtisodiyoti, iqtisodiy harakatsizlik inqirozi, Xalqaro valyuta fondi, retsessiya, pandemiya, investitsiya, kapital, iqtisodiy ko‘rsatkichlar, Yalpi ichki maxsulot, investor, “quvib yetuvchi” iqtisodiyot.</w:t>
      </w:r>
    </w:p>
    <w:p w:rsidR="00760609" w:rsidRPr="0057507A" w:rsidRDefault="00760609" w:rsidP="0057507A">
      <w:pPr>
        <w:widowControl w:val="0"/>
        <w:spacing w:line="360" w:lineRule="auto"/>
        <w:ind w:firstLine="708"/>
        <w:jc w:val="both"/>
        <w:rPr>
          <w:spacing w:val="-4"/>
          <w:szCs w:val="28"/>
          <w:lang w:val="uz-Latn-UZ"/>
        </w:rPr>
      </w:pPr>
    </w:p>
    <w:p w:rsidR="00760609" w:rsidRPr="00657800" w:rsidRDefault="00760609" w:rsidP="00657800">
      <w:pPr>
        <w:widowControl w:val="0"/>
        <w:ind w:firstLine="709"/>
        <w:jc w:val="both"/>
        <w:rPr>
          <w:spacing w:val="-4"/>
          <w:sz w:val="24"/>
          <w:lang w:val="uz-Cyrl-UZ"/>
        </w:rPr>
      </w:pPr>
      <w:r w:rsidRPr="00657800">
        <w:rPr>
          <w:spacing w:val="-4"/>
          <w:sz w:val="24"/>
          <w:lang w:val="uz-Cyrl-UZ"/>
        </w:rPr>
        <w:t xml:space="preserve">Joriy yilda jahon iqtisodiyotida koronavirus infeksiyasi pandemiyasi sababli muammoli vaziyatlar paydo bo‘la boshladi. Jahon hamjamiyati sog‘liqni saqlash tizimini qutqarish uchun ongli ravishda iqtisodiy faoliyatni asta sekin to‘xtatdi. Natijada mamlakatlarda iqtisodiy inqiroz kuzatila boshladi va bu butun dunyoga tarqaldi. </w:t>
      </w:r>
    </w:p>
    <w:p w:rsidR="00760609" w:rsidRPr="00657800" w:rsidRDefault="00760609" w:rsidP="00657800">
      <w:pPr>
        <w:widowControl w:val="0"/>
        <w:ind w:firstLine="709"/>
        <w:jc w:val="both"/>
        <w:rPr>
          <w:sz w:val="24"/>
          <w:lang w:val="uz-Cyrl-UZ"/>
        </w:rPr>
      </w:pPr>
      <w:r w:rsidRPr="00657800">
        <w:rPr>
          <w:sz w:val="24"/>
          <w:lang w:val="uz-Cyrl-UZ"/>
        </w:rPr>
        <w:t>XVF rahbari K.Georgievaning qayd etishicha, joriy vaziyat juda xavfli bo‘lib, 2008-2009 yillardagi krizis bilan solishtirganda ancha yomon. Shuningdek, global iqtisodiyot to‘xtagan, dunyo to‘laligicha retsessiyada, bu iqtisodiy inqirozga qaraganda yomonroq. Uning qo‘shimcha qilishicha, bu pandemiyadan rivojlanayotgan davlatlar ham iqtisodiy inqiroz, ham sog‘liqni saqlash sohasi inqirozi hisobiga juda katta zarar ko‘radilar</w:t>
      </w:r>
      <w:r w:rsidRPr="00657800">
        <w:rPr>
          <w:rStyle w:val="FootnoteReference"/>
          <w:sz w:val="24"/>
          <w:lang w:val="uz-Cyrl-UZ"/>
        </w:rPr>
        <w:footnoteReference w:id="1"/>
      </w:r>
      <w:r w:rsidRPr="00657800">
        <w:rPr>
          <w:sz w:val="24"/>
          <w:lang w:val="uz-Cyrl-UZ"/>
        </w:rPr>
        <w:t xml:space="preserve">.  </w:t>
      </w:r>
    </w:p>
    <w:p w:rsidR="00760609" w:rsidRPr="00657800" w:rsidRDefault="00760609" w:rsidP="00657800">
      <w:pPr>
        <w:widowControl w:val="0"/>
        <w:ind w:firstLine="709"/>
        <w:jc w:val="both"/>
        <w:rPr>
          <w:sz w:val="24"/>
          <w:lang w:val="uz-Cyrl-UZ"/>
        </w:rPr>
      </w:pPr>
      <w:r w:rsidRPr="00657800">
        <w:rPr>
          <w:sz w:val="24"/>
          <w:lang w:val="uz-Cyrl-UZ"/>
        </w:rPr>
        <w:t xml:space="preserve">Xalqaro valyuta fondi ma’lumotlariga ko‘ra, 2020 yilda koronavirus dunyo iqtisodiyotiga 12 trln. AQSh dollari miqdorida zarar </w:t>
      </w:r>
      <w:r w:rsidRPr="00657800">
        <w:rPr>
          <w:sz w:val="24"/>
          <w:lang w:val="en-US"/>
        </w:rPr>
        <w:t>y</w:t>
      </w:r>
      <w:r w:rsidRPr="00657800">
        <w:rPr>
          <w:sz w:val="24"/>
          <w:lang w:val="uz-Cyrl-UZ"/>
        </w:rPr>
        <w:t>etkazadi</w:t>
      </w:r>
      <w:r w:rsidRPr="00657800">
        <w:rPr>
          <w:rStyle w:val="FootnoteReference"/>
          <w:color w:val="000000"/>
          <w:sz w:val="24"/>
          <w:lang w:val="uz-Cyrl-UZ"/>
        </w:rPr>
        <w:footnoteReference w:id="2"/>
      </w:r>
      <w:r w:rsidRPr="00657800">
        <w:rPr>
          <w:color w:val="000000"/>
          <w:sz w:val="24"/>
          <w:lang w:val="uz-Cyrl-UZ"/>
        </w:rPr>
        <w:t xml:space="preserve"> </w:t>
      </w:r>
      <w:r w:rsidRPr="00657800">
        <w:rPr>
          <w:sz w:val="24"/>
          <w:lang w:val="uz-Cyrl-UZ"/>
        </w:rPr>
        <w:t>(taqqoslash uchun 2018 yilda jahon YaIM 85,9 trln. AQSh dollariga teng bo‘lgan, 2009 yilda jahon YaIM inqiroz sababli -1,68 % ga pasaygan).</w:t>
      </w:r>
    </w:p>
    <w:p w:rsidR="00760609" w:rsidRPr="00657800" w:rsidRDefault="00760609" w:rsidP="00657800">
      <w:pPr>
        <w:widowControl w:val="0"/>
        <w:ind w:firstLine="709"/>
        <w:jc w:val="both"/>
        <w:rPr>
          <w:sz w:val="24"/>
          <w:lang w:val="uz-Cyrl-UZ"/>
        </w:rPr>
      </w:pPr>
      <w:r w:rsidRPr="00657800">
        <w:rPr>
          <w:sz w:val="24"/>
          <w:lang w:val="uz-Cyrl-UZ"/>
        </w:rPr>
        <w:t>Iqtisodiyotni rivojlantirishning eng asosiy omillaridan biri bo‘lgan investitsiya hajmi ham keskin pasayib ketdi. Ayniqsa, butun dunyoda investitsion faoliyatni amalga oshirish uchun istiqbolli yo‘nalish hisoblangan energetika sohasida bugun investitsiyalash hajmi qisqarishi kuzatilmoqda. Xalqaro energetika agentligi hisobotiga ko‘ra, 2020 yilda energetika sohasiga global investitsiya kiritish 400 milliard AQSh dollariga qisqaradi va bu tarixdagi eng yirik pasayish bo‘ladi</w:t>
      </w:r>
      <w:r w:rsidRPr="00657800">
        <w:rPr>
          <w:rStyle w:val="FootnoteReference"/>
          <w:sz w:val="24"/>
          <w:lang w:val="uz-Cyrl-UZ"/>
        </w:rPr>
        <w:footnoteReference w:id="3"/>
      </w:r>
      <w:r w:rsidRPr="00657800">
        <w:rPr>
          <w:sz w:val="24"/>
          <w:lang w:val="uz-Cyrl-UZ"/>
        </w:rPr>
        <w:t xml:space="preserve">.  </w:t>
      </w:r>
    </w:p>
    <w:p w:rsidR="00760609" w:rsidRPr="00657800" w:rsidRDefault="00760609" w:rsidP="00657800">
      <w:pPr>
        <w:widowControl w:val="0"/>
        <w:ind w:firstLine="567"/>
        <w:jc w:val="both"/>
        <w:rPr>
          <w:sz w:val="24"/>
          <w:lang w:val="uz-Cyrl-UZ"/>
        </w:rPr>
      </w:pPr>
      <w:r w:rsidRPr="00657800">
        <w:rPr>
          <w:sz w:val="24"/>
          <w:lang w:val="uz-Cyrl-UZ"/>
        </w:rPr>
        <w:t xml:space="preserve">Ma’lumki, iqtisodiy inqirozning salbiy tomonlari qanchalik ko‘p bo‘lmasin, iqtisodiy rivojlanishning yangi istiqbollari uchun asos bo‘ladigan ayrim jihatlari ham mavjud. Jumladan, jahondagi investitsion jarayonlarni yo‘nalishini o‘zgarishiga sabab bo‘ladi. 2008 yilda sodir bo‘lgan jahon moliyaviy-iqtisodiy inqirozidan keyin dunyodagi kapital oqimi yuqori sur’atlar bilan rivojlanayotgan Xitoy va Hindiston tomoniga burilgan. Natijada </w:t>
      </w:r>
      <w:r w:rsidRPr="00657800">
        <w:rPr>
          <w:sz w:val="24"/>
          <w:lang w:val="en-US"/>
        </w:rPr>
        <w:t xml:space="preserve">2006-2018 </w:t>
      </w:r>
      <w:r w:rsidRPr="00657800">
        <w:rPr>
          <w:sz w:val="24"/>
          <w:lang w:val="uz-Cyrl-UZ"/>
        </w:rPr>
        <w:t xml:space="preserve">yillarda Xitoyda kapital hajmi 5,3 marta o‘sib, 5,99 trln. AQSh dollarga </w:t>
      </w:r>
      <w:r w:rsidRPr="00657800">
        <w:rPr>
          <w:sz w:val="24"/>
          <w:lang w:val="en-US"/>
        </w:rPr>
        <w:t>y</w:t>
      </w:r>
      <w:r w:rsidRPr="00657800">
        <w:rPr>
          <w:sz w:val="24"/>
          <w:lang w:val="uz-Cyrl-UZ"/>
        </w:rPr>
        <w:t xml:space="preserve">etgan. Hindistonda ushbu davrda kapitallar hajmi 2,3 marta ortib, 2018 yil yakuniga ko‘ra 0,85 trln. AQSh dollarga </w:t>
      </w:r>
      <w:r w:rsidRPr="00657800">
        <w:rPr>
          <w:sz w:val="24"/>
          <w:lang w:val="en-US"/>
        </w:rPr>
        <w:t>y</w:t>
      </w:r>
      <w:r w:rsidRPr="00657800">
        <w:rPr>
          <w:sz w:val="24"/>
          <w:lang w:val="uz-Cyrl-UZ"/>
        </w:rPr>
        <w:t>etgan. AQSh bu davrda 33 % lik o‘sish ko‘rsatkichini namoyon etgan. Yaponiya, EI davlatlari va Rossiyada tahlil qilinayotgan davrda kapital hajmining o‘sish sur’atlari past bo‘lgan</w:t>
      </w:r>
      <w:r w:rsidRPr="00657800">
        <w:rPr>
          <w:rStyle w:val="FootnoteReference"/>
          <w:sz w:val="24"/>
          <w:lang w:val="uz-Cyrl-UZ"/>
        </w:rPr>
        <w:footnoteReference w:id="4"/>
      </w:r>
      <w:r w:rsidRPr="00657800">
        <w:rPr>
          <w:sz w:val="24"/>
          <w:lang w:val="uz-Cyrl-UZ"/>
        </w:rPr>
        <w:t xml:space="preserve">. </w:t>
      </w:r>
    </w:p>
    <w:p w:rsidR="00760609" w:rsidRDefault="00760609" w:rsidP="00657800">
      <w:pPr>
        <w:widowControl w:val="0"/>
        <w:ind w:firstLine="709"/>
        <w:jc w:val="both"/>
        <w:rPr>
          <w:sz w:val="24"/>
          <w:lang w:val="en-US"/>
        </w:rPr>
      </w:pPr>
      <w:r w:rsidRPr="00657800">
        <w:rPr>
          <w:sz w:val="24"/>
          <w:lang w:val="uz-Cyrl-UZ"/>
        </w:rPr>
        <w:lastRenderedPageBreak/>
        <w:t xml:space="preserve">Inqiroz sharoitida mamlakatmizga to‘g‘ridan-to‘g‘ri xorijiy investitsiyalarni jalb qilish ko‘lamini oshirish iqtisodiyotni barqaror rivojlantirish uchun asos bo‘lib xizmat qiladi. Investitsiyalarning qaytimi yuqori bo‘lishi uchun, avvalo, so‘ngi yillarda mamlakat iqtisodiyotining asosiy makroiqtisodiy ko‘rsatkichlarini tahlini ko‘rib chiqish kerak. </w:t>
      </w:r>
    </w:p>
    <w:p w:rsidR="00760609" w:rsidRPr="00657800" w:rsidRDefault="00760609" w:rsidP="00657800">
      <w:pPr>
        <w:widowControl w:val="0"/>
        <w:ind w:firstLine="708"/>
        <w:jc w:val="both"/>
        <w:rPr>
          <w:spacing w:val="-2"/>
          <w:sz w:val="24"/>
          <w:lang w:val="uz-Cyrl-UZ"/>
        </w:rPr>
      </w:pPr>
      <w:r w:rsidRPr="00657800">
        <w:rPr>
          <w:spacing w:val="-2"/>
          <w:sz w:val="24"/>
          <w:lang w:val="uz-Cyrl-UZ"/>
        </w:rPr>
        <w:t>Oxirgi yillar mobaynida asosiy kapitalga kiritilayotgan investitsiyalarning katta qismi sanoatga sarflanayotganligiga qaramasdan tarmoqning raqobatbardoshligi ko‘zlangan darajaga yetmagan (1-rasm).</w:t>
      </w:r>
    </w:p>
    <w:p w:rsidR="00760609" w:rsidRPr="00657800" w:rsidRDefault="00FF12E7" w:rsidP="00657800">
      <w:pPr>
        <w:widowControl w:val="0"/>
        <w:ind w:firstLine="709"/>
        <w:jc w:val="both"/>
        <w:rPr>
          <w:spacing w:val="-2"/>
          <w:sz w:val="24"/>
          <w:lang w:val="uz-Cyrl-UZ"/>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6" type="#_x0000_t75" style="position:absolute;left:0;text-align:left;margin-left:4.8pt;margin-top:12.3pt;width:507.9pt;height:240pt;z-index:1;visibility:visible">
            <v:imagedata r:id="rId9" o:title=""/>
          </v:shape>
        </w:pict>
      </w:r>
    </w:p>
    <w:p w:rsidR="00760609" w:rsidRPr="00657800" w:rsidRDefault="00760609" w:rsidP="00657800">
      <w:pPr>
        <w:widowControl w:val="0"/>
        <w:jc w:val="both"/>
        <w:rPr>
          <w:sz w:val="24"/>
          <w:lang w:val="uz-Cyrl-UZ"/>
        </w:rPr>
      </w:pPr>
    </w:p>
    <w:p w:rsidR="00760609" w:rsidRPr="00657800" w:rsidRDefault="00760609" w:rsidP="00657800">
      <w:pPr>
        <w:widowControl w:val="0"/>
        <w:jc w:val="both"/>
        <w:rPr>
          <w:sz w:val="24"/>
          <w:lang w:val="uz-Cyrl-UZ"/>
        </w:rPr>
      </w:pPr>
    </w:p>
    <w:p w:rsidR="00760609" w:rsidRPr="00657800" w:rsidRDefault="00760609" w:rsidP="00657800">
      <w:pPr>
        <w:widowControl w:val="0"/>
        <w:jc w:val="both"/>
        <w:rPr>
          <w:sz w:val="24"/>
          <w:lang w:val="uz-Cyrl-UZ"/>
        </w:rPr>
      </w:pPr>
    </w:p>
    <w:p w:rsidR="00760609" w:rsidRPr="00657800" w:rsidRDefault="00760609" w:rsidP="00657800">
      <w:pPr>
        <w:widowControl w:val="0"/>
        <w:jc w:val="both"/>
        <w:rPr>
          <w:sz w:val="24"/>
          <w:lang w:val="uz-Cyrl-UZ"/>
        </w:rPr>
      </w:pPr>
    </w:p>
    <w:p w:rsidR="00760609" w:rsidRPr="00657800" w:rsidRDefault="00760609" w:rsidP="00657800">
      <w:pPr>
        <w:widowControl w:val="0"/>
        <w:jc w:val="both"/>
        <w:rPr>
          <w:sz w:val="24"/>
          <w:lang w:val="uz-Cyrl-UZ"/>
        </w:rPr>
      </w:pPr>
    </w:p>
    <w:p w:rsidR="00760609" w:rsidRPr="00657800" w:rsidRDefault="00760609" w:rsidP="00657800">
      <w:pPr>
        <w:widowControl w:val="0"/>
        <w:jc w:val="both"/>
        <w:rPr>
          <w:sz w:val="24"/>
          <w:lang w:val="uz-Cyrl-UZ"/>
        </w:rPr>
      </w:pPr>
    </w:p>
    <w:p w:rsidR="00760609" w:rsidRPr="00657800" w:rsidRDefault="00760609" w:rsidP="00657800">
      <w:pPr>
        <w:widowControl w:val="0"/>
        <w:jc w:val="both"/>
        <w:rPr>
          <w:sz w:val="24"/>
          <w:lang w:val="uz-Cyrl-UZ"/>
        </w:rPr>
      </w:pPr>
    </w:p>
    <w:p w:rsidR="00760609" w:rsidRPr="00657800" w:rsidRDefault="00760609" w:rsidP="00657800">
      <w:pPr>
        <w:widowControl w:val="0"/>
        <w:jc w:val="both"/>
        <w:rPr>
          <w:sz w:val="24"/>
          <w:lang w:val="uz-Cyrl-UZ"/>
        </w:rPr>
      </w:pPr>
    </w:p>
    <w:p w:rsidR="00760609" w:rsidRPr="00657800" w:rsidRDefault="00760609" w:rsidP="00657800">
      <w:pPr>
        <w:widowControl w:val="0"/>
        <w:jc w:val="both"/>
        <w:rPr>
          <w:sz w:val="24"/>
          <w:lang w:val="uz-Cyrl-UZ"/>
        </w:rPr>
      </w:pPr>
    </w:p>
    <w:p w:rsidR="00760609" w:rsidRPr="00657800" w:rsidRDefault="00760609" w:rsidP="00657800">
      <w:pPr>
        <w:widowControl w:val="0"/>
        <w:jc w:val="both"/>
        <w:rPr>
          <w:sz w:val="24"/>
          <w:lang w:val="uz-Cyrl-UZ"/>
        </w:rPr>
      </w:pPr>
    </w:p>
    <w:p w:rsidR="00760609" w:rsidRPr="00657800" w:rsidRDefault="00760609" w:rsidP="00657800">
      <w:pPr>
        <w:widowControl w:val="0"/>
        <w:jc w:val="both"/>
        <w:rPr>
          <w:sz w:val="24"/>
          <w:lang w:val="uz-Cyrl-UZ"/>
        </w:rPr>
      </w:pPr>
    </w:p>
    <w:p w:rsidR="00760609" w:rsidRPr="00657800" w:rsidRDefault="00760609" w:rsidP="00657800">
      <w:pPr>
        <w:widowControl w:val="0"/>
        <w:jc w:val="both"/>
        <w:rPr>
          <w:sz w:val="24"/>
          <w:lang w:val="uz-Cyrl-UZ"/>
        </w:rPr>
      </w:pPr>
    </w:p>
    <w:p w:rsidR="00760609" w:rsidRPr="00657800" w:rsidRDefault="00760609" w:rsidP="00657800">
      <w:pPr>
        <w:widowControl w:val="0"/>
        <w:jc w:val="both"/>
        <w:rPr>
          <w:b/>
          <w:sz w:val="24"/>
          <w:lang w:val="uz-Cyrl-UZ"/>
        </w:rPr>
      </w:pPr>
    </w:p>
    <w:p w:rsidR="00760609" w:rsidRPr="00657800" w:rsidRDefault="00760609" w:rsidP="00657800">
      <w:pPr>
        <w:widowControl w:val="0"/>
        <w:jc w:val="both"/>
        <w:rPr>
          <w:b/>
          <w:sz w:val="24"/>
          <w:lang w:val="uz-Cyrl-UZ"/>
        </w:rPr>
      </w:pPr>
    </w:p>
    <w:p w:rsidR="00760609" w:rsidRPr="00657800" w:rsidRDefault="00760609" w:rsidP="00657800">
      <w:pPr>
        <w:widowControl w:val="0"/>
        <w:jc w:val="both"/>
        <w:rPr>
          <w:b/>
          <w:sz w:val="24"/>
          <w:lang w:val="uz-Cyrl-UZ"/>
        </w:rPr>
      </w:pPr>
    </w:p>
    <w:p w:rsidR="00657800" w:rsidRDefault="00657800" w:rsidP="00657800">
      <w:pPr>
        <w:widowControl w:val="0"/>
        <w:jc w:val="center"/>
        <w:rPr>
          <w:b/>
          <w:sz w:val="24"/>
          <w:lang w:val="en-US"/>
        </w:rPr>
      </w:pPr>
    </w:p>
    <w:p w:rsidR="00657800" w:rsidRDefault="00657800" w:rsidP="00657800">
      <w:pPr>
        <w:widowControl w:val="0"/>
        <w:jc w:val="center"/>
        <w:rPr>
          <w:b/>
          <w:sz w:val="24"/>
          <w:lang w:val="en-US"/>
        </w:rPr>
      </w:pPr>
    </w:p>
    <w:p w:rsidR="00657800" w:rsidRDefault="00657800" w:rsidP="00657800">
      <w:pPr>
        <w:widowControl w:val="0"/>
        <w:jc w:val="center"/>
        <w:rPr>
          <w:b/>
          <w:sz w:val="24"/>
          <w:lang w:val="en-US"/>
        </w:rPr>
      </w:pPr>
    </w:p>
    <w:p w:rsidR="00657800" w:rsidRDefault="00657800" w:rsidP="00657800">
      <w:pPr>
        <w:widowControl w:val="0"/>
        <w:jc w:val="center"/>
        <w:rPr>
          <w:b/>
          <w:sz w:val="24"/>
          <w:lang w:val="en-US"/>
        </w:rPr>
      </w:pPr>
    </w:p>
    <w:p w:rsidR="00760609" w:rsidRPr="00657800" w:rsidRDefault="00760609" w:rsidP="00657800">
      <w:pPr>
        <w:widowControl w:val="0"/>
        <w:jc w:val="center"/>
        <w:rPr>
          <w:b/>
          <w:sz w:val="24"/>
          <w:lang w:val="uz-Cyrl-UZ"/>
        </w:rPr>
      </w:pPr>
      <w:r w:rsidRPr="00657800">
        <w:rPr>
          <w:b/>
          <w:sz w:val="24"/>
          <w:lang w:val="uz-Cyrl-UZ"/>
        </w:rPr>
        <w:t>1-rasm. Iqtisodiy faoliyat turlari bo‘yicha asosiy kapitalga kiritilgan investitsiyalar</w:t>
      </w:r>
      <w:r w:rsidRPr="00657800">
        <w:rPr>
          <w:rStyle w:val="FootnoteReference"/>
          <w:b/>
          <w:sz w:val="24"/>
          <w:lang w:val="uz-Cyrl-UZ"/>
        </w:rPr>
        <w:footnoteReference w:id="5"/>
      </w:r>
      <w:r w:rsidRPr="00657800">
        <w:rPr>
          <w:b/>
          <w:sz w:val="24"/>
          <w:lang w:val="uz-Cyrl-UZ"/>
        </w:rPr>
        <w:t>, jamiga nisbatan %</w:t>
      </w:r>
    </w:p>
    <w:p w:rsidR="00760609" w:rsidRPr="00657800" w:rsidRDefault="00760609" w:rsidP="00657800">
      <w:pPr>
        <w:widowControl w:val="0"/>
        <w:ind w:firstLine="708"/>
        <w:jc w:val="both"/>
        <w:rPr>
          <w:spacing w:val="2"/>
          <w:sz w:val="24"/>
          <w:lang w:val="uz-Cyrl-UZ"/>
        </w:rPr>
      </w:pPr>
      <w:r w:rsidRPr="00657800">
        <w:rPr>
          <w:spacing w:val="2"/>
          <w:sz w:val="24"/>
          <w:lang w:val="uz-Cyrl-UZ"/>
        </w:rPr>
        <w:t>2018 yil yakuniga ko‘ra asosiy kapitalga kiritilgan investitsiyalarning deyarli yarmi – 48,1 % i sanoat tarmog‘ida o‘zlashtirilgan yoki 2010 yilga nisbatan 18,6 % lik sof o‘sish kuzatilgan. Aksincha, tahlil etilayotgan davrda qishloq, o‘rmon va baliq xo‘jaligi, xizmatlar va boshqa tarmoqlarda asosiy kapitalga kiritilgan investitsiyalar miqdori kamaygan. Qurilish tarmog‘ida 2018 yilda 2010 yilga nisbatan 0,8 % lik o‘sish bilan jami investitsiyalarning 2,1 % i o‘zlashtirilgan. so‘ngi yillar mobaynida sanoatga yo‘naltirilgan asosiy kapitalga investitsiyalar miqdorining keskin oshirilishi va xizmatlar tarmog‘iga yo‘naltirilgan investitsiyalar miqdorining deyarli ikki barobarga qisqartirilishiga qaramasdan, shu davr mobaynida mamlakat eksporti tarkibida kimyo mahsulotlari eksporti 5,1 % dan 6,5 % ga, qora va rangli metallar eksporti 6,9 % dan 8,4 % ga hamda xizmatlar 10,2 % dan 21,7 % ga yetgan</w:t>
      </w:r>
      <w:r w:rsidRPr="00657800">
        <w:rPr>
          <w:rStyle w:val="FootnoteReference"/>
          <w:spacing w:val="2"/>
          <w:sz w:val="24"/>
          <w:lang w:val="uz-Cyrl-UZ"/>
        </w:rPr>
        <w:footnoteReference w:id="6"/>
      </w:r>
      <w:r w:rsidRPr="00657800">
        <w:rPr>
          <w:spacing w:val="2"/>
          <w:sz w:val="24"/>
          <w:lang w:val="uz-Cyrl-UZ"/>
        </w:rPr>
        <w:t>. Xizmatlar sohasida ikki martadan ziyodroq o‘sish ko‘rsatkichiga erishilgan. Tahlil qilinayotgan davrda mamlakat eksport tarkibida qolgan tovarlar bo‘yicha o‘sish qayd etilmagan.</w:t>
      </w:r>
    </w:p>
    <w:p w:rsidR="00760609" w:rsidRDefault="00760609" w:rsidP="00657800">
      <w:pPr>
        <w:widowControl w:val="0"/>
        <w:ind w:firstLine="708"/>
        <w:jc w:val="both"/>
        <w:rPr>
          <w:spacing w:val="2"/>
          <w:sz w:val="24"/>
          <w:lang w:val="en-US"/>
        </w:rPr>
      </w:pPr>
      <w:r w:rsidRPr="00657800">
        <w:rPr>
          <w:spacing w:val="2"/>
          <w:sz w:val="24"/>
          <w:lang w:val="uz-Cyrl-UZ"/>
        </w:rPr>
        <w:t xml:space="preserve">Investitsiyalarni yangi quvvatlarni qurishga yo‘naltirgandan ko‘ra, mavjud obyektlarni texnologik qayta qurollantirish va rivojlantirishga sarflash iqtisodiyotni modernizatsiyalashga va tarkibiy islohotlarni amalga oshirishga olib keladi. Natijada iqtisodiyotda samaradorlik ortadi. Mazkur yo‘nalishda mamlakatimizda oxirgi yillarda bir qancha ishlar amalga oshirilmoqda (2-rasm). </w:t>
      </w:r>
    </w:p>
    <w:p w:rsidR="00657800" w:rsidRDefault="00657800" w:rsidP="00657800">
      <w:pPr>
        <w:widowControl w:val="0"/>
        <w:ind w:firstLine="708"/>
        <w:jc w:val="both"/>
        <w:rPr>
          <w:spacing w:val="2"/>
          <w:sz w:val="24"/>
          <w:lang w:val="en-US"/>
        </w:rPr>
      </w:pPr>
    </w:p>
    <w:p w:rsidR="00657800" w:rsidRDefault="00657800" w:rsidP="00657800">
      <w:pPr>
        <w:widowControl w:val="0"/>
        <w:ind w:firstLine="708"/>
        <w:jc w:val="both"/>
        <w:rPr>
          <w:spacing w:val="2"/>
          <w:sz w:val="24"/>
          <w:lang w:val="en-US"/>
        </w:rPr>
      </w:pPr>
    </w:p>
    <w:p w:rsidR="00657800" w:rsidRPr="00657800" w:rsidRDefault="00657800" w:rsidP="00657800">
      <w:pPr>
        <w:widowControl w:val="0"/>
        <w:ind w:firstLine="708"/>
        <w:jc w:val="both"/>
        <w:rPr>
          <w:spacing w:val="2"/>
          <w:sz w:val="24"/>
          <w:lang w:val="en-US"/>
        </w:rPr>
      </w:pPr>
    </w:p>
    <w:p w:rsidR="00760609" w:rsidRPr="00657800" w:rsidRDefault="00760609" w:rsidP="00657800">
      <w:pPr>
        <w:widowControl w:val="0"/>
        <w:ind w:firstLine="708"/>
        <w:jc w:val="both"/>
        <w:rPr>
          <w:spacing w:val="2"/>
          <w:sz w:val="24"/>
          <w:lang w:val="uz-Cyrl-UZ"/>
        </w:rPr>
      </w:pPr>
    </w:p>
    <w:p w:rsidR="00760609" w:rsidRPr="00657800" w:rsidRDefault="00760609" w:rsidP="00657800">
      <w:pPr>
        <w:widowControl w:val="0"/>
        <w:jc w:val="both"/>
        <w:rPr>
          <w:noProof/>
          <w:sz w:val="24"/>
          <w:lang w:val="uz-Cyrl-UZ"/>
        </w:rPr>
      </w:pPr>
    </w:p>
    <w:p w:rsidR="00760609" w:rsidRPr="00657800" w:rsidRDefault="00784F7D" w:rsidP="00657800">
      <w:pPr>
        <w:widowControl w:val="0"/>
        <w:jc w:val="both"/>
        <w:rPr>
          <w:noProof/>
          <w:sz w:val="24"/>
          <w:lang w:val="uz-Cyrl-UZ"/>
        </w:rPr>
      </w:pPr>
      <w:r>
        <w:rPr>
          <w:noProof/>
          <w:sz w:val="24"/>
        </w:rPr>
        <w:lastRenderedPageBreak/>
        <w:pict>
          <v:shape id="Рисунок 1" o:spid="_x0000_s1027" type="#_x0000_t75" style="position:absolute;left:0;text-align:left;margin-left:67.8pt;margin-top:4.05pt;width:389.4pt;height:172.1pt;z-index:2;visibility:visible">
            <v:imagedata r:id="rId10" o:title=""/>
          </v:shape>
        </w:pict>
      </w:r>
    </w:p>
    <w:p w:rsidR="00760609" w:rsidRPr="00657800" w:rsidRDefault="00760609" w:rsidP="00657800">
      <w:pPr>
        <w:widowControl w:val="0"/>
        <w:jc w:val="both"/>
        <w:rPr>
          <w:noProof/>
          <w:sz w:val="24"/>
          <w:lang w:val="uz-Cyrl-UZ"/>
        </w:rPr>
      </w:pPr>
    </w:p>
    <w:p w:rsidR="00760609" w:rsidRPr="00657800" w:rsidRDefault="00760609" w:rsidP="00657800">
      <w:pPr>
        <w:widowControl w:val="0"/>
        <w:jc w:val="both"/>
        <w:rPr>
          <w:noProof/>
          <w:sz w:val="24"/>
          <w:lang w:val="uz-Cyrl-UZ"/>
        </w:rPr>
      </w:pPr>
    </w:p>
    <w:p w:rsidR="00760609" w:rsidRPr="00657800" w:rsidRDefault="00760609" w:rsidP="00657800">
      <w:pPr>
        <w:widowControl w:val="0"/>
        <w:jc w:val="both"/>
        <w:rPr>
          <w:noProof/>
          <w:sz w:val="24"/>
          <w:lang w:val="uz-Cyrl-UZ"/>
        </w:rPr>
      </w:pPr>
    </w:p>
    <w:p w:rsidR="00760609" w:rsidRPr="00657800" w:rsidRDefault="00760609" w:rsidP="00657800">
      <w:pPr>
        <w:widowControl w:val="0"/>
        <w:jc w:val="both"/>
        <w:rPr>
          <w:noProof/>
          <w:sz w:val="24"/>
          <w:lang w:val="uz-Cyrl-UZ"/>
        </w:rPr>
      </w:pPr>
    </w:p>
    <w:p w:rsidR="00760609" w:rsidRPr="00657800" w:rsidRDefault="00760609" w:rsidP="00657800">
      <w:pPr>
        <w:widowControl w:val="0"/>
        <w:jc w:val="both"/>
        <w:rPr>
          <w:noProof/>
          <w:sz w:val="24"/>
          <w:lang w:val="uz-Cyrl-UZ"/>
        </w:rPr>
      </w:pPr>
    </w:p>
    <w:p w:rsidR="00760609" w:rsidRPr="00657800" w:rsidRDefault="00760609" w:rsidP="00657800">
      <w:pPr>
        <w:widowControl w:val="0"/>
        <w:jc w:val="both"/>
        <w:rPr>
          <w:noProof/>
          <w:sz w:val="24"/>
          <w:lang w:val="uz-Cyrl-UZ"/>
        </w:rPr>
      </w:pPr>
    </w:p>
    <w:p w:rsidR="00760609" w:rsidRPr="00657800" w:rsidRDefault="00760609" w:rsidP="00657800">
      <w:pPr>
        <w:widowControl w:val="0"/>
        <w:jc w:val="both"/>
        <w:rPr>
          <w:noProof/>
          <w:sz w:val="24"/>
          <w:lang w:val="uz-Cyrl-UZ"/>
        </w:rPr>
      </w:pPr>
    </w:p>
    <w:p w:rsidR="00760609" w:rsidRPr="00657800" w:rsidRDefault="00760609" w:rsidP="00657800">
      <w:pPr>
        <w:widowControl w:val="0"/>
        <w:jc w:val="both"/>
        <w:rPr>
          <w:noProof/>
          <w:sz w:val="24"/>
          <w:lang w:val="uz-Cyrl-UZ"/>
        </w:rPr>
      </w:pPr>
    </w:p>
    <w:p w:rsidR="00760609" w:rsidRPr="00657800" w:rsidRDefault="00760609" w:rsidP="00657800">
      <w:pPr>
        <w:widowControl w:val="0"/>
        <w:jc w:val="both"/>
        <w:rPr>
          <w:noProof/>
          <w:sz w:val="24"/>
          <w:lang w:val="uz-Cyrl-UZ"/>
        </w:rPr>
      </w:pPr>
    </w:p>
    <w:p w:rsidR="00760609" w:rsidRPr="00657800" w:rsidRDefault="00760609" w:rsidP="00657800">
      <w:pPr>
        <w:widowControl w:val="0"/>
        <w:jc w:val="both"/>
        <w:rPr>
          <w:b/>
          <w:sz w:val="24"/>
          <w:lang w:val="uz-Cyrl-UZ"/>
        </w:rPr>
      </w:pPr>
    </w:p>
    <w:p w:rsidR="00657800" w:rsidRDefault="00657800" w:rsidP="00657800">
      <w:pPr>
        <w:widowControl w:val="0"/>
        <w:jc w:val="both"/>
        <w:rPr>
          <w:b/>
          <w:sz w:val="24"/>
          <w:lang w:val="en-US"/>
        </w:rPr>
      </w:pPr>
    </w:p>
    <w:p w:rsidR="00784F7D" w:rsidRDefault="00784F7D" w:rsidP="00657800">
      <w:pPr>
        <w:widowControl w:val="0"/>
        <w:jc w:val="center"/>
        <w:rPr>
          <w:b/>
          <w:sz w:val="24"/>
          <w:lang w:val="en-US"/>
        </w:rPr>
      </w:pPr>
    </w:p>
    <w:p w:rsidR="00760609" w:rsidRPr="00657800" w:rsidRDefault="00760609" w:rsidP="00657800">
      <w:pPr>
        <w:widowControl w:val="0"/>
        <w:jc w:val="center"/>
        <w:rPr>
          <w:b/>
          <w:sz w:val="24"/>
          <w:lang w:val="uz-Cyrl-UZ"/>
        </w:rPr>
      </w:pPr>
      <w:bookmarkStart w:id="0" w:name="_GoBack"/>
      <w:bookmarkEnd w:id="0"/>
      <w:r w:rsidRPr="00657800">
        <w:rPr>
          <w:b/>
          <w:sz w:val="24"/>
          <w:lang w:val="uz-Cyrl-UZ"/>
        </w:rPr>
        <w:t>2-rasm. Asosiy kapitalga kiritilgan investitsiyalarning texnologik tarkibi</w:t>
      </w:r>
      <w:r w:rsidRPr="00657800">
        <w:rPr>
          <w:rStyle w:val="FootnoteReference"/>
          <w:b/>
          <w:sz w:val="24"/>
          <w:lang w:val="uz-Cyrl-UZ"/>
        </w:rPr>
        <w:footnoteReference w:id="7"/>
      </w:r>
      <w:r w:rsidRPr="00657800">
        <w:rPr>
          <w:b/>
          <w:sz w:val="24"/>
          <w:lang w:val="uz-Cyrl-UZ"/>
        </w:rPr>
        <w:t>, yakunga nisbatan foiz hisobida</w:t>
      </w:r>
    </w:p>
    <w:p w:rsidR="00760609" w:rsidRPr="00657800" w:rsidRDefault="00760609" w:rsidP="00657800">
      <w:pPr>
        <w:widowControl w:val="0"/>
        <w:ind w:firstLine="708"/>
        <w:jc w:val="both"/>
        <w:rPr>
          <w:spacing w:val="2"/>
          <w:sz w:val="24"/>
          <w:lang w:val="uz-Cyrl-UZ"/>
        </w:rPr>
      </w:pPr>
      <w:r w:rsidRPr="00657800">
        <w:rPr>
          <w:spacing w:val="2"/>
          <w:sz w:val="24"/>
          <w:lang w:val="uz-Cyrl-UZ"/>
        </w:rPr>
        <w:t xml:space="preserve">Investitsion faoliyatning qaytimi tezlashishi va samaradorligi yuqori bo‘lishi uchun asosiy kapital tarkibida aktiv qismning ulushi yuqori bo‘lishi kerak. 2010-2017 yillarda mamlakatimizda asosiy kapitalga kiritilgan investitsiyaning asosiy qismi o‘rtacha 50,2 % i qurilish-montaj ishlariga sarflangan. Natijada asosiy kapital tarkibida passiv qism ko‘paygan. 2018 yil yakuniga kelib qurilish-montaj ishlariga sarflangan investitsiyalar 2010 yilga nisbatan 4 % ga kamayib, asbob-uskuna va jihozlarga yo‘naltirilgan investitsiyalar mos ravishda 7,5 % ga o‘sgan. </w:t>
      </w:r>
    </w:p>
    <w:p w:rsidR="00760609" w:rsidRPr="00657800" w:rsidRDefault="00760609" w:rsidP="00657800">
      <w:pPr>
        <w:widowControl w:val="0"/>
        <w:ind w:firstLine="708"/>
        <w:jc w:val="both"/>
        <w:rPr>
          <w:sz w:val="24"/>
          <w:lang w:val="uz-Cyrl-UZ"/>
        </w:rPr>
      </w:pPr>
      <w:r w:rsidRPr="00657800">
        <w:rPr>
          <w:sz w:val="24"/>
          <w:lang w:val="uz-Cyrl-UZ"/>
        </w:rPr>
        <w:t>Iqtisodiyotda “quvib yetuvchi” modernizatsiyalash strategiyasi muvaffaqiyatli amalga oshirilishi ustun darajada milliy iqtisodiyotning sanoatlashish darajasi va asosiy kapitalga kiritilgan investitsiyalarning o‘zlashtirilishiga bog‘liqdir. Mamlakatimizda so‘ngi yillarda amalga oshirilgan iqtisodiyotni modernizatsiyalash, tarkibiy isloh etish va milliy iqtisodiyot raqobatbardoshligini oshirishga qaratilgan chora-tadbirlar natijasida asosiy makroiqtisodiy ko‘rsatkichlar quyidagi ko‘rinishga kelgan (1-jadval).</w:t>
      </w:r>
    </w:p>
    <w:p w:rsidR="00760609" w:rsidRPr="00657800" w:rsidRDefault="00760609" w:rsidP="00657800">
      <w:pPr>
        <w:widowControl w:val="0"/>
        <w:ind w:firstLine="708"/>
        <w:jc w:val="center"/>
        <w:rPr>
          <w:b/>
          <w:sz w:val="24"/>
          <w:lang w:val="uz-Cyrl-UZ"/>
        </w:rPr>
      </w:pPr>
      <w:r w:rsidRPr="00657800">
        <w:rPr>
          <w:b/>
          <w:sz w:val="24"/>
          <w:lang w:val="uz-Cyrl-UZ"/>
        </w:rPr>
        <w:t>1-jadval.</w:t>
      </w:r>
    </w:p>
    <w:p w:rsidR="00760609" w:rsidRPr="00657800" w:rsidRDefault="00760609" w:rsidP="00657800">
      <w:pPr>
        <w:widowControl w:val="0"/>
        <w:ind w:firstLine="708"/>
        <w:jc w:val="center"/>
        <w:rPr>
          <w:b/>
          <w:sz w:val="24"/>
          <w:lang w:val="uz-Cyrl-UZ"/>
        </w:rPr>
      </w:pPr>
      <w:r w:rsidRPr="00657800">
        <w:rPr>
          <w:b/>
          <w:sz w:val="24"/>
          <w:lang w:val="uz-Cyrl-UZ"/>
        </w:rPr>
        <w:t>Makroiqtisodiy ko‘rsatkichlarning o‘sish sur’atlari</w:t>
      </w:r>
      <w:r w:rsidRPr="00657800">
        <w:rPr>
          <w:rStyle w:val="FootnoteReference"/>
          <w:b/>
          <w:sz w:val="24"/>
          <w:lang w:val="uz-Cyrl-UZ"/>
        </w:rPr>
        <w:footnoteReference w:id="8"/>
      </w:r>
      <w:r w:rsidRPr="00657800">
        <w:rPr>
          <w:b/>
          <w:sz w:val="24"/>
          <w:lang w:val="uz-Cyrl-UZ"/>
        </w:rPr>
        <w:t>,</w:t>
      </w:r>
    </w:p>
    <w:p w:rsidR="00760609" w:rsidRPr="00657800" w:rsidRDefault="00760609" w:rsidP="00657800">
      <w:pPr>
        <w:widowControl w:val="0"/>
        <w:ind w:firstLine="708"/>
        <w:jc w:val="center"/>
        <w:rPr>
          <w:b/>
          <w:sz w:val="24"/>
          <w:lang w:val="uz-Cyrl-UZ"/>
        </w:rPr>
      </w:pPr>
      <w:r w:rsidRPr="00657800">
        <w:rPr>
          <w:b/>
          <w:sz w:val="24"/>
          <w:lang w:val="uz-Cyrl-UZ"/>
        </w:rPr>
        <w:t>foizda, yillar oralig‘ida o‘rtacha</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1276"/>
        <w:gridCol w:w="1418"/>
        <w:gridCol w:w="1417"/>
        <w:gridCol w:w="1418"/>
      </w:tblGrid>
      <w:tr w:rsidR="00760609" w:rsidRPr="00657800" w:rsidTr="00657800">
        <w:trPr>
          <w:trHeight w:val="445"/>
          <w:jc w:val="center"/>
        </w:trPr>
        <w:tc>
          <w:tcPr>
            <w:tcW w:w="3118" w:type="dxa"/>
            <w:vAlign w:val="center"/>
          </w:tcPr>
          <w:p w:rsidR="00760609" w:rsidRPr="00657800" w:rsidRDefault="00760609" w:rsidP="00657800">
            <w:pPr>
              <w:widowControl w:val="0"/>
              <w:spacing w:before="100" w:beforeAutospacing="1" w:after="100" w:afterAutospacing="1"/>
              <w:jc w:val="both"/>
              <w:rPr>
                <w:sz w:val="24"/>
                <w:lang w:val="uz-Cyrl-UZ"/>
              </w:rPr>
            </w:pPr>
            <w:r w:rsidRPr="00657800">
              <w:rPr>
                <w:sz w:val="24"/>
                <w:lang w:val="en-US"/>
              </w:rPr>
              <w:t>K</w:t>
            </w:r>
            <w:r w:rsidRPr="00657800">
              <w:rPr>
                <w:sz w:val="24"/>
                <w:lang w:val="uz-Cyrl-UZ"/>
              </w:rPr>
              <w:t>o‘rsatkichlar</w:t>
            </w:r>
          </w:p>
        </w:tc>
        <w:tc>
          <w:tcPr>
            <w:tcW w:w="1276" w:type="dxa"/>
            <w:vAlign w:val="center"/>
          </w:tcPr>
          <w:p w:rsidR="00760609" w:rsidRPr="00657800" w:rsidRDefault="00760609" w:rsidP="00657800">
            <w:pPr>
              <w:widowControl w:val="0"/>
              <w:spacing w:before="100" w:beforeAutospacing="1" w:after="100" w:afterAutospacing="1"/>
              <w:jc w:val="both"/>
              <w:rPr>
                <w:sz w:val="24"/>
                <w:lang w:val="uz-Cyrl-UZ"/>
              </w:rPr>
            </w:pPr>
            <w:r w:rsidRPr="00657800">
              <w:rPr>
                <w:sz w:val="24"/>
                <w:lang w:val="uz-Cyrl-UZ"/>
              </w:rPr>
              <w:t>2000-2004</w:t>
            </w:r>
          </w:p>
        </w:tc>
        <w:tc>
          <w:tcPr>
            <w:tcW w:w="1418" w:type="dxa"/>
            <w:vAlign w:val="center"/>
          </w:tcPr>
          <w:p w:rsidR="00760609" w:rsidRPr="00657800" w:rsidRDefault="00760609" w:rsidP="00657800">
            <w:pPr>
              <w:widowControl w:val="0"/>
              <w:spacing w:before="100" w:beforeAutospacing="1" w:after="100" w:afterAutospacing="1"/>
              <w:jc w:val="both"/>
              <w:rPr>
                <w:sz w:val="24"/>
                <w:lang w:val="uz-Cyrl-UZ"/>
              </w:rPr>
            </w:pPr>
            <w:r w:rsidRPr="00657800">
              <w:rPr>
                <w:sz w:val="24"/>
                <w:lang w:val="uz-Cyrl-UZ"/>
              </w:rPr>
              <w:t>2005-2009</w:t>
            </w:r>
          </w:p>
        </w:tc>
        <w:tc>
          <w:tcPr>
            <w:tcW w:w="1417" w:type="dxa"/>
            <w:vAlign w:val="center"/>
          </w:tcPr>
          <w:p w:rsidR="00760609" w:rsidRPr="00657800" w:rsidRDefault="00760609" w:rsidP="00657800">
            <w:pPr>
              <w:widowControl w:val="0"/>
              <w:spacing w:before="100" w:beforeAutospacing="1" w:after="100" w:afterAutospacing="1"/>
              <w:jc w:val="both"/>
              <w:rPr>
                <w:sz w:val="24"/>
                <w:lang w:val="uz-Cyrl-UZ"/>
              </w:rPr>
            </w:pPr>
            <w:r w:rsidRPr="00657800">
              <w:rPr>
                <w:sz w:val="24"/>
                <w:lang w:val="uz-Cyrl-UZ"/>
              </w:rPr>
              <w:t>2010-2014</w:t>
            </w:r>
          </w:p>
        </w:tc>
        <w:tc>
          <w:tcPr>
            <w:tcW w:w="1418" w:type="dxa"/>
            <w:vAlign w:val="center"/>
          </w:tcPr>
          <w:p w:rsidR="00760609" w:rsidRPr="00657800" w:rsidRDefault="00760609" w:rsidP="00657800">
            <w:pPr>
              <w:widowControl w:val="0"/>
              <w:spacing w:before="100" w:beforeAutospacing="1" w:after="100" w:afterAutospacing="1"/>
              <w:jc w:val="both"/>
              <w:rPr>
                <w:sz w:val="24"/>
                <w:lang w:val="uz-Cyrl-UZ"/>
              </w:rPr>
            </w:pPr>
            <w:r w:rsidRPr="00657800">
              <w:rPr>
                <w:sz w:val="24"/>
                <w:lang w:val="uz-Cyrl-UZ"/>
              </w:rPr>
              <w:t>2015-2019</w:t>
            </w:r>
          </w:p>
        </w:tc>
      </w:tr>
      <w:tr w:rsidR="00760609" w:rsidRPr="00657800" w:rsidTr="00657800">
        <w:trPr>
          <w:jc w:val="center"/>
        </w:trPr>
        <w:tc>
          <w:tcPr>
            <w:tcW w:w="3118" w:type="dxa"/>
            <w:vAlign w:val="center"/>
          </w:tcPr>
          <w:p w:rsidR="00760609" w:rsidRPr="00657800" w:rsidRDefault="00760609" w:rsidP="00657800">
            <w:pPr>
              <w:widowControl w:val="0"/>
              <w:spacing w:before="100" w:beforeAutospacing="1" w:after="100" w:afterAutospacing="1"/>
              <w:jc w:val="both"/>
              <w:rPr>
                <w:sz w:val="24"/>
                <w:lang w:val="uz-Cyrl-UZ"/>
              </w:rPr>
            </w:pPr>
            <w:r w:rsidRPr="00657800">
              <w:rPr>
                <w:sz w:val="24"/>
                <w:lang w:val="uz-Cyrl-UZ"/>
              </w:rPr>
              <w:t>YaIM</w:t>
            </w:r>
          </w:p>
        </w:tc>
        <w:tc>
          <w:tcPr>
            <w:tcW w:w="1276" w:type="dxa"/>
            <w:vAlign w:val="center"/>
          </w:tcPr>
          <w:p w:rsidR="00760609" w:rsidRPr="00657800" w:rsidRDefault="00760609" w:rsidP="00657800">
            <w:pPr>
              <w:widowControl w:val="0"/>
              <w:spacing w:before="100" w:beforeAutospacing="1" w:after="100" w:afterAutospacing="1"/>
              <w:jc w:val="both"/>
              <w:rPr>
                <w:sz w:val="24"/>
                <w:lang w:val="uz-Cyrl-UZ"/>
              </w:rPr>
            </w:pPr>
            <w:r w:rsidRPr="00657800">
              <w:rPr>
                <w:color w:val="000000"/>
                <w:sz w:val="24"/>
              </w:rPr>
              <w:t>104,7</w:t>
            </w:r>
          </w:p>
        </w:tc>
        <w:tc>
          <w:tcPr>
            <w:tcW w:w="1418" w:type="dxa"/>
            <w:vAlign w:val="center"/>
          </w:tcPr>
          <w:p w:rsidR="00760609" w:rsidRPr="00657800" w:rsidRDefault="00760609" w:rsidP="00657800">
            <w:pPr>
              <w:widowControl w:val="0"/>
              <w:spacing w:before="100" w:beforeAutospacing="1" w:after="100" w:afterAutospacing="1"/>
              <w:jc w:val="both"/>
              <w:rPr>
                <w:sz w:val="24"/>
                <w:lang w:val="uz-Cyrl-UZ"/>
              </w:rPr>
            </w:pPr>
            <w:r w:rsidRPr="00657800">
              <w:rPr>
                <w:color w:val="000000"/>
                <w:sz w:val="24"/>
              </w:rPr>
              <w:t>108,</w:t>
            </w:r>
            <w:r w:rsidRPr="00657800">
              <w:rPr>
                <w:color w:val="000000"/>
                <w:sz w:val="24"/>
                <w:lang w:val="uz-Cyrl-UZ"/>
              </w:rPr>
              <w:t>2</w:t>
            </w:r>
          </w:p>
        </w:tc>
        <w:tc>
          <w:tcPr>
            <w:tcW w:w="1417" w:type="dxa"/>
            <w:vAlign w:val="center"/>
          </w:tcPr>
          <w:p w:rsidR="00760609" w:rsidRPr="00657800" w:rsidRDefault="00760609" w:rsidP="00657800">
            <w:pPr>
              <w:widowControl w:val="0"/>
              <w:spacing w:before="100" w:beforeAutospacing="1" w:after="100" w:afterAutospacing="1"/>
              <w:jc w:val="both"/>
              <w:rPr>
                <w:sz w:val="24"/>
                <w:lang w:val="uz-Cyrl-UZ"/>
              </w:rPr>
            </w:pPr>
            <w:r w:rsidRPr="00657800">
              <w:rPr>
                <w:color w:val="000000"/>
                <w:sz w:val="24"/>
              </w:rPr>
              <w:t>107,</w:t>
            </w:r>
            <w:r w:rsidRPr="00657800">
              <w:rPr>
                <w:color w:val="000000"/>
                <w:sz w:val="24"/>
                <w:lang w:val="uz-Cyrl-UZ"/>
              </w:rPr>
              <w:t>4</w:t>
            </w:r>
          </w:p>
        </w:tc>
        <w:tc>
          <w:tcPr>
            <w:tcW w:w="1418" w:type="dxa"/>
            <w:vAlign w:val="center"/>
          </w:tcPr>
          <w:p w:rsidR="00760609" w:rsidRPr="00657800" w:rsidRDefault="00760609" w:rsidP="00657800">
            <w:pPr>
              <w:widowControl w:val="0"/>
              <w:spacing w:before="100" w:beforeAutospacing="1" w:after="100" w:afterAutospacing="1"/>
              <w:jc w:val="both"/>
              <w:rPr>
                <w:sz w:val="24"/>
                <w:lang w:val="uz-Cyrl-UZ"/>
              </w:rPr>
            </w:pPr>
            <w:r w:rsidRPr="00657800">
              <w:rPr>
                <w:color w:val="000000"/>
                <w:sz w:val="24"/>
              </w:rPr>
              <w:t>105,8</w:t>
            </w:r>
          </w:p>
        </w:tc>
      </w:tr>
      <w:tr w:rsidR="00760609" w:rsidRPr="00657800" w:rsidTr="00657800">
        <w:trPr>
          <w:jc w:val="center"/>
        </w:trPr>
        <w:tc>
          <w:tcPr>
            <w:tcW w:w="3118" w:type="dxa"/>
            <w:vAlign w:val="center"/>
          </w:tcPr>
          <w:p w:rsidR="00760609" w:rsidRPr="00657800" w:rsidRDefault="00760609" w:rsidP="00657800">
            <w:pPr>
              <w:widowControl w:val="0"/>
              <w:spacing w:before="100" w:beforeAutospacing="1" w:after="100" w:afterAutospacing="1"/>
              <w:jc w:val="both"/>
              <w:rPr>
                <w:sz w:val="24"/>
                <w:lang w:val="uz-Cyrl-UZ"/>
              </w:rPr>
            </w:pPr>
            <w:r w:rsidRPr="00657800">
              <w:rPr>
                <w:sz w:val="24"/>
                <w:lang w:val="uz-Cyrl-UZ"/>
              </w:rPr>
              <w:t>Sanoat</w:t>
            </w:r>
          </w:p>
        </w:tc>
        <w:tc>
          <w:tcPr>
            <w:tcW w:w="1276" w:type="dxa"/>
            <w:vAlign w:val="center"/>
          </w:tcPr>
          <w:p w:rsidR="00760609" w:rsidRPr="00657800" w:rsidRDefault="00760609" w:rsidP="00657800">
            <w:pPr>
              <w:widowControl w:val="0"/>
              <w:spacing w:before="100" w:beforeAutospacing="1" w:after="100" w:afterAutospacing="1"/>
              <w:jc w:val="both"/>
              <w:rPr>
                <w:sz w:val="24"/>
                <w:lang w:val="uz-Cyrl-UZ"/>
              </w:rPr>
            </w:pPr>
            <w:r w:rsidRPr="00657800">
              <w:rPr>
                <w:color w:val="000000"/>
                <w:sz w:val="24"/>
              </w:rPr>
              <w:t>10</w:t>
            </w:r>
            <w:r w:rsidRPr="00657800">
              <w:rPr>
                <w:color w:val="000000"/>
                <w:sz w:val="24"/>
                <w:lang w:val="uz-Cyrl-UZ"/>
              </w:rPr>
              <w:t>3,3</w:t>
            </w:r>
          </w:p>
        </w:tc>
        <w:tc>
          <w:tcPr>
            <w:tcW w:w="1418" w:type="dxa"/>
            <w:vAlign w:val="center"/>
          </w:tcPr>
          <w:p w:rsidR="00760609" w:rsidRPr="00657800" w:rsidRDefault="00760609" w:rsidP="00657800">
            <w:pPr>
              <w:widowControl w:val="0"/>
              <w:spacing w:before="100" w:beforeAutospacing="1" w:after="100" w:afterAutospacing="1"/>
              <w:jc w:val="both"/>
              <w:rPr>
                <w:sz w:val="24"/>
                <w:lang w:val="uz-Cyrl-UZ"/>
              </w:rPr>
            </w:pPr>
            <w:r w:rsidRPr="00657800">
              <w:rPr>
                <w:sz w:val="24"/>
              </w:rPr>
              <w:t>1</w:t>
            </w:r>
            <w:r w:rsidRPr="00657800">
              <w:rPr>
                <w:sz w:val="24"/>
                <w:lang w:val="uz-Cyrl-UZ"/>
              </w:rPr>
              <w:t>05,5</w:t>
            </w:r>
          </w:p>
        </w:tc>
        <w:tc>
          <w:tcPr>
            <w:tcW w:w="1417" w:type="dxa"/>
            <w:vAlign w:val="center"/>
          </w:tcPr>
          <w:p w:rsidR="00760609" w:rsidRPr="00657800" w:rsidRDefault="00760609" w:rsidP="00657800">
            <w:pPr>
              <w:widowControl w:val="0"/>
              <w:spacing w:before="100" w:beforeAutospacing="1" w:after="100" w:afterAutospacing="1"/>
              <w:jc w:val="both"/>
              <w:rPr>
                <w:sz w:val="24"/>
                <w:lang w:val="uz-Cyrl-UZ"/>
              </w:rPr>
            </w:pPr>
            <w:r w:rsidRPr="00657800">
              <w:rPr>
                <w:sz w:val="24"/>
              </w:rPr>
              <w:t>10</w:t>
            </w:r>
            <w:r w:rsidRPr="00657800">
              <w:rPr>
                <w:sz w:val="24"/>
                <w:lang w:val="uz-Cyrl-UZ"/>
              </w:rPr>
              <w:t>5,6</w:t>
            </w:r>
          </w:p>
        </w:tc>
        <w:tc>
          <w:tcPr>
            <w:tcW w:w="1418" w:type="dxa"/>
            <w:vAlign w:val="center"/>
          </w:tcPr>
          <w:p w:rsidR="00760609" w:rsidRPr="00657800" w:rsidRDefault="00760609" w:rsidP="00657800">
            <w:pPr>
              <w:widowControl w:val="0"/>
              <w:spacing w:before="100" w:beforeAutospacing="1" w:after="100" w:afterAutospacing="1"/>
              <w:jc w:val="both"/>
              <w:rPr>
                <w:sz w:val="24"/>
                <w:lang w:val="uz-Cyrl-UZ"/>
              </w:rPr>
            </w:pPr>
            <w:r w:rsidRPr="00657800">
              <w:rPr>
                <w:color w:val="000000"/>
                <w:sz w:val="24"/>
              </w:rPr>
              <w:t>10</w:t>
            </w:r>
            <w:r w:rsidRPr="00657800">
              <w:rPr>
                <w:color w:val="000000"/>
                <w:sz w:val="24"/>
                <w:lang w:val="uz-Cyrl-UZ"/>
              </w:rPr>
              <w:t>6,3</w:t>
            </w:r>
          </w:p>
        </w:tc>
      </w:tr>
      <w:tr w:rsidR="00760609" w:rsidRPr="00657800" w:rsidTr="00657800">
        <w:trPr>
          <w:jc w:val="center"/>
        </w:trPr>
        <w:tc>
          <w:tcPr>
            <w:tcW w:w="3118" w:type="dxa"/>
            <w:vAlign w:val="center"/>
          </w:tcPr>
          <w:p w:rsidR="00760609" w:rsidRPr="00657800" w:rsidRDefault="00760609" w:rsidP="00657800">
            <w:pPr>
              <w:widowControl w:val="0"/>
              <w:spacing w:before="100" w:beforeAutospacing="1" w:after="100" w:afterAutospacing="1"/>
              <w:jc w:val="both"/>
              <w:rPr>
                <w:sz w:val="24"/>
                <w:lang w:val="uz-Cyrl-UZ"/>
              </w:rPr>
            </w:pPr>
            <w:r w:rsidRPr="00657800">
              <w:rPr>
                <w:sz w:val="24"/>
                <w:lang w:val="uz-Cyrl-UZ"/>
              </w:rPr>
              <w:t>Asosiy kapitalga kiritilgan investitsiyalar</w:t>
            </w:r>
          </w:p>
        </w:tc>
        <w:tc>
          <w:tcPr>
            <w:tcW w:w="1276" w:type="dxa"/>
            <w:vAlign w:val="center"/>
          </w:tcPr>
          <w:p w:rsidR="00760609" w:rsidRPr="00657800" w:rsidRDefault="00760609" w:rsidP="00657800">
            <w:pPr>
              <w:widowControl w:val="0"/>
              <w:spacing w:before="100" w:beforeAutospacing="1" w:after="100" w:afterAutospacing="1"/>
              <w:jc w:val="both"/>
              <w:rPr>
                <w:sz w:val="24"/>
                <w:lang w:val="uz-Cyrl-UZ"/>
              </w:rPr>
            </w:pPr>
            <w:r w:rsidRPr="00657800">
              <w:rPr>
                <w:color w:val="000000"/>
                <w:sz w:val="24"/>
                <w:lang w:val="uz-Cyrl-UZ"/>
              </w:rPr>
              <w:t>104,1</w:t>
            </w:r>
          </w:p>
        </w:tc>
        <w:tc>
          <w:tcPr>
            <w:tcW w:w="1418" w:type="dxa"/>
            <w:vAlign w:val="center"/>
          </w:tcPr>
          <w:p w:rsidR="00760609" w:rsidRPr="00657800" w:rsidRDefault="00760609" w:rsidP="00657800">
            <w:pPr>
              <w:widowControl w:val="0"/>
              <w:spacing w:before="100" w:beforeAutospacing="1" w:after="100" w:afterAutospacing="1"/>
              <w:jc w:val="both"/>
              <w:rPr>
                <w:sz w:val="24"/>
                <w:lang w:val="uz-Cyrl-UZ"/>
              </w:rPr>
            </w:pPr>
            <w:r w:rsidRPr="00657800">
              <w:rPr>
                <w:color w:val="000000"/>
                <w:sz w:val="24"/>
              </w:rPr>
              <w:t>119,9</w:t>
            </w:r>
          </w:p>
        </w:tc>
        <w:tc>
          <w:tcPr>
            <w:tcW w:w="1417" w:type="dxa"/>
            <w:vAlign w:val="center"/>
          </w:tcPr>
          <w:p w:rsidR="00760609" w:rsidRPr="00657800" w:rsidRDefault="00760609" w:rsidP="00657800">
            <w:pPr>
              <w:widowControl w:val="0"/>
              <w:spacing w:before="100" w:beforeAutospacing="1" w:after="100" w:afterAutospacing="1"/>
              <w:jc w:val="both"/>
              <w:rPr>
                <w:sz w:val="24"/>
                <w:lang w:val="uz-Cyrl-UZ"/>
              </w:rPr>
            </w:pPr>
            <w:r w:rsidRPr="00657800">
              <w:rPr>
                <w:color w:val="000000"/>
                <w:sz w:val="24"/>
              </w:rPr>
              <w:t>107,7</w:t>
            </w:r>
          </w:p>
        </w:tc>
        <w:tc>
          <w:tcPr>
            <w:tcW w:w="1418" w:type="dxa"/>
            <w:vAlign w:val="center"/>
          </w:tcPr>
          <w:p w:rsidR="00760609" w:rsidRPr="00657800" w:rsidRDefault="00760609" w:rsidP="00657800">
            <w:pPr>
              <w:widowControl w:val="0"/>
              <w:spacing w:before="100" w:beforeAutospacing="1" w:after="100" w:afterAutospacing="1"/>
              <w:jc w:val="both"/>
              <w:rPr>
                <w:sz w:val="24"/>
                <w:lang w:val="uz-Cyrl-UZ"/>
              </w:rPr>
            </w:pPr>
            <w:r w:rsidRPr="00657800">
              <w:rPr>
                <w:color w:val="000000"/>
                <w:sz w:val="24"/>
              </w:rPr>
              <w:t>1</w:t>
            </w:r>
            <w:r w:rsidRPr="00657800">
              <w:rPr>
                <w:color w:val="000000"/>
                <w:sz w:val="24"/>
                <w:lang w:val="uz-Cyrl-UZ"/>
              </w:rPr>
              <w:t>20,2</w:t>
            </w:r>
          </w:p>
        </w:tc>
      </w:tr>
    </w:tbl>
    <w:p w:rsidR="00657800" w:rsidRDefault="00657800" w:rsidP="00657800">
      <w:pPr>
        <w:widowControl w:val="0"/>
        <w:ind w:firstLine="708"/>
        <w:jc w:val="both"/>
        <w:rPr>
          <w:sz w:val="24"/>
          <w:lang w:val="en-US"/>
        </w:rPr>
      </w:pPr>
    </w:p>
    <w:p w:rsidR="00760609" w:rsidRPr="00657800" w:rsidRDefault="00760609" w:rsidP="00657800">
      <w:pPr>
        <w:widowControl w:val="0"/>
        <w:ind w:firstLine="708"/>
        <w:jc w:val="both"/>
        <w:rPr>
          <w:sz w:val="24"/>
          <w:lang w:val="uz-Cyrl-UZ"/>
        </w:rPr>
      </w:pPr>
      <w:r w:rsidRPr="00657800">
        <w:rPr>
          <w:sz w:val="24"/>
          <w:lang w:val="uz-Cyrl-UZ"/>
        </w:rPr>
        <w:t xml:space="preserve">YaIM 2000-2009 yillar oralig‘ida o‘sish tendensiyasiga ega bo‘lgan va 2009 yil yakuniga ko‘ra 8,1 % ga </w:t>
      </w:r>
      <w:r w:rsidRPr="00657800">
        <w:rPr>
          <w:sz w:val="24"/>
          <w:lang w:val="en-US"/>
        </w:rPr>
        <w:t>y</w:t>
      </w:r>
      <w:r w:rsidRPr="00657800">
        <w:rPr>
          <w:sz w:val="24"/>
          <w:lang w:val="uz-Cyrl-UZ"/>
        </w:rPr>
        <w:t xml:space="preserve">etgan. 2010 yildan 2019 yilgacha 7,3 % dan  5,6 % gacha pasaygan. Ushbu davrda sanoat mahsulotlari ishlab chiqarish o‘sish tendensiyasiga ega bo‘lgan. Asosiy kapitalga kiritilgan investitsiyalar ham 2005-2009 yillarda 19,9 % lik o‘sishni qayd etgani holda, 2010-2014 yillarda 7,7 % gacha pasaygan va 2015-2019 yillarda 20,2 % gacha o‘sgan. 2015-2019 yillar mobaynida sanoatning yillik qo‘shimcha o‘sishini va iqtisodiyotni modernizatsiyalashning yangi bosqichga ko‘tarilganini ko‘rishimiz mumkin. </w:t>
      </w:r>
    </w:p>
    <w:p w:rsidR="00760609" w:rsidRPr="00657800" w:rsidRDefault="00760609" w:rsidP="00657800">
      <w:pPr>
        <w:widowControl w:val="0"/>
        <w:ind w:firstLine="708"/>
        <w:jc w:val="both"/>
        <w:rPr>
          <w:sz w:val="24"/>
          <w:lang w:val="uz-Cyrl-UZ"/>
        </w:rPr>
      </w:pPr>
      <w:r w:rsidRPr="00657800">
        <w:rPr>
          <w:sz w:val="24"/>
          <w:lang w:val="uz-Cyrl-UZ"/>
        </w:rPr>
        <w:t>Bundan tashqari so‘ngi yillarda mamlakatda amalga oshirilayotgan iqtisodiy islohotlar jahon hamjamiyatining e’tirofiga sabab bo‘lmoqda. Tadbirkorlik subyektlari faoliyatiga ijro xokimiyati organlari mas’ul xodimlari aralashuvining cheklanishi, mamlakatning investitsion jozibardorligini oshirishga qaratilgan sa’y-harakatlarning amalga oshirilishi va chet el texnokratlarining milliy iqtisodiyotni barqaror rivojlantirish uchun taklif qilinishi kabi ijobiy chora-tadbirlarning amalga oshirilishi natijasida O‘zbekiston nufuzli The Economist jurnali tomonidan “2019 yil mamlakati” deya e’tirof etildi</w:t>
      </w:r>
      <w:r w:rsidRPr="00657800">
        <w:rPr>
          <w:rStyle w:val="FootnoteReference"/>
          <w:sz w:val="24"/>
          <w:lang w:val="uz-Cyrl-UZ"/>
        </w:rPr>
        <w:footnoteReference w:id="9"/>
      </w:r>
      <w:r w:rsidRPr="00657800">
        <w:rPr>
          <w:sz w:val="24"/>
          <w:lang w:val="uz-Cyrl-UZ"/>
        </w:rPr>
        <w:t xml:space="preserve">. Bu iqtisodiyotning </w:t>
      </w:r>
      <w:r w:rsidRPr="00657800">
        <w:rPr>
          <w:sz w:val="24"/>
          <w:lang w:val="uz-Cyrl-UZ"/>
        </w:rPr>
        <w:lastRenderedPageBreak/>
        <w:t xml:space="preserve">liberallashtirilishi va chet el investitsiyalarini jalb qilish uchun zamin vazifasini o‘taydi. </w:t>
      </w:r>
    </w:p>
    <w:p w:rsidR="00760609" w:rsidRDefault="00760609" w:rsidP="00657800">
      <w:pPr>
        <w:widowControl w:val="0"/>
        <w:ind w:firstLine="709"/>
        <w:jc w:val="both"/>
        <w:rPr>
          <w:sz w:val="24"/>
          <w:lang w:val="en-US"/>
        </w:rPr>
      </w:pPr>
      <w:r w:rsidRPr="00657800">
        <w:rPr>
          <w:sz w:val="24"/>
          <w:lang w:val="uz-Cyrl-UZ"/>
        </w:rPr>
        <w:t>Yuqorida sanab o‘tilgan ijobiy va yutuqli jihatlar bilan bir qatorda bugungi kun talabidan kelib chiqqan holda mamlakatda investitsion jozibadorlikni yanada oshirish va investitsiyalar o‘zlashtirish ko‘lamini kengaytirish uchun hal qilinishi va takomillashtirilishi zarur bo‘lgan ayrim jihatlar ham mavjud:</w:t>
      </w:r>
    </w:p>
    <w:p w:rsidR="00760609" w:rsidRPr="00657800" w:rsidRDefault="00760609" w:rsidP="00657800">
      <w:pPr>
        <w:pStyle w:val="ListParagraph"/>
        <w:widowControl w:val="0"/>
        <w:numPr>
          <w:ilvl w:val="0"/>
          <w:numId w:val="1"/>
        </w:numPr>
        <w:tabs>
          <w:tab w:val="left" w:pos="993"/>
        </w:tabs>
        <w:spacing w:after="0" w:line="240" w:lineRule="auto"/>
        <w:ind w:left="0" w:firstLine="709"/>
        <w:jc w:val="both"/>
        <w:rPr>
          <w:rFonts w:ascii="Times New Roman" w:hAnsi="Times New Roman"/>
          <w:bCs/>
          <w:sz w:val="24"/>
          <w:szCs w:val="24"/>
          <w:lang w:val="uz-Cyrl-UZ"/>
        </w:rPr>
      </w:pPr>
      <w:r w:rsidRPr="00657800">
        <w:rPr>
          <w:rFonts w:ascii="Times New Roman" w:hAnsi="Times New Roman"/>
          <w:bCs/>
          <w:sz w:val="24"/>
          <w:szCs w:val="24"/>
          <w:lang w:val="uz-Cyrl-UZ"/>
        </w:rPr>
        <w:t>investorlar uchun yaratilgan imtiyoz va afzalliklardan foydalanishdagi to‘siqlar;</w:t>
      </w:r>
    </w:p>
    <w:p w:rsidR="00760609" w:rsidRPr="00657800" w:rsidRDefault="00760609" w:rsidP="00657800">
      <w:pPr>
        <w:pStyle w:val="ListParagraph"/>
        <w:widowControl w:val="0"/>
        <w:numPr>
          <w:ilvl w:val="0"/>
          <w:numId w:val="1"/>
        </w:numPr>
        <w:tabs>
          <w:tab w:val="left" w:pos="993"/>
        </w:tabs>
        <w:spacing w:after="0" w:line="240" w:lineRule="auto"/>
        <w:ind w:left="990" w:hanging="281"/>
        <w:jc w:val="both"/>
        <w:rPr>
          <w:rFonts w:ascii="Times New Roman" w:hAnsi="Times New Roman"/>
          <w:bCs/>
          <w:sz w:val="24"/>
          <w:szCs w:val="24"/>
          <w:lang w:val="uz-Cyrl-UZ"/>
        </w:rPr>
      </w:pPr>
      <w:r w:rsidRPr="00657800">
        <w:rPr>
          <w:rFonts w:ascii="Times New Roman" w:hAnsi="Times New Roman"/>
          <w:bCs/>
          <w:sz w:val="24"/>
          <w:szCs w:val="24"/>
          <w:lang w:val="uz-Cyrl-UZ"/>
        </w:rPr>
        <w:t xml:space="preserve">soliq, bojxona, bank sohalarida, shuningdek investorlarga </w:t>
      </w:r>
      <w:r w:rsidRPr="00657800">
        <w:rPr>
          <w:rFonts w:ascii="Times New Roman" w:hAnsi="Times New Roman"/>
          <w:bCs/>
          <w:sz w:val="24"/>
          <w:szCs w:val="24"/>
          <w:lang w:val="en-US"/>
        </w:rPr>
        <w:t>y</w:t>
      </w:r>
      <w:r w:rsidRPr="00657800">
        <w:rPr>
          <w:rFonts w:ascii="Times New Roman" w:hAnsi="Times New Roman"/>
          <w:bCs/>
          <w:sz w:val="24"/>
          <w:szCs w:val="24"/>
          <w:lang w:val="uz-Cyrl-UZ"/>
        </w:rPr>
        <w:t xml:space="preserve">er ajratish bilan bog‘liq muammo va </w:t>
      </w:r>
      <w:r w:rsidR="00657800">
        <w:rPr>
          <w:rFonts w:ascii="Times New Roman" w:hAnsi="Times New Roman"/>
          <w:bCs/>
          <w:sz w:val="24"/>
          <w:szCs w:val="24"/>
          <w:lang w:val="en-US"/>
        </w:rPr>
        <w:t xml:space="preserve">  </w:t>
      </w:r>
      <w:r w:rsidRPr="00657800">
        <w:rPr>
          <w:rFonts w:ascii="Times New Roman" w:hAnsi="Times New Roman"/>
          <w:bCs/>
          <w:sz w:val="24"/>
          <w:szCs w:val="24"/>
          <w:lang w:val="uz-Cyrl-UZ"/>
        </w:rPr>
        <w:t xml:space="preserve">to‘siqlar; </w:t>
      </w:r>
    </w:p>
    <w:p w:rsidR="00760609" w:rsidRPr="00657800" w:rsidRDefault="00760609" w:rsidP="00657800">
      <w:pPr>
        <w:pStyle w:val="ListParagraph"/>
        <w:widowControl w:val="0"/>
        <w:numPr>
          <w:ilvl w:val="0"/>
          <w:numId w:val="1"/>
        </w:numPr>
        <w:tabs>
          <w:tab w:val="left" w:pos="993"/>
        </w:tabs>
        <w:spacing w:after="0" w:line="240" w:lineRule="auto"/>
        <w:ind w:left="990" w:hanging="281"/>
        <w:jc w:val="both"/>
        <w:rPr>
          <w:rFonts w:ascii="Times New Roman" w:hAnsi="Times New Roman"/>
          <w:bCs/>
          <w:sz w:val="24"/>
          <w:szCs w:val="24"/>
          <w:lang w:val="uz-Cyrl-UZ"/>
        </w:rPr>
      </w:pPr>
      <w:r w:rsidRPr="00657800">
        <w:rPr>
          <w:rFonts w:ascii="Times New Roman" w:hAnsi="Times New Roman"/>
          <w:bCs/>
          <w:sz w:val="24"/>
          <w:szCs w:val="24"/>
          <w:lang w:val="uz-Cyrl-UZ"/>
        </w:rPr>
        <w:t>tadbirkorlik subyektlari moliya-xo‘jalik faoliyatini nazorat qiluvchi organlar tomonidan tekshiruvlarning ko‘pligi;</w:t>
      </w:r>
    </w:p>
    <w:p w:rsidR="00760609" w:rsidRPr="00657800" w:rsidRDefault="00760609" w:rsidP="00657800">
      <w:pPr>
        <w:pStyle w:val="ListParagraph"/>
        <w:widowControl w:val="0"/>
        <w:numPr>
          <w:ilvl w:val="0"/>
          <w:numId w:val="1"/>
        </w:numPr>
        <w:tabs>
          <w:tab w:val="left" w:pos="720"/>
        </w:tabs>
        <w:spacing w:after="0" w:line="240" w:lineRule="auto"/>
        <w:ind w:left="990" w:hanging="270"/>
        <w:jc w:val="both"/>
        <w:rPr>
          <w:rFonts w:ascii="Times New Roman" w:hAnsi="Times New Roman"/>
          <w:bCs/>
          <w:sz w:val="24"/>
          <w:szCs w:val="24"/>
          <w:lang w:val="uz-Cyrl-UZ"/>
        </w:rPr>
      </w:pPr>
      <w:r w:rsidRPr="00657800">
        <w:rPr>
          <w:rFonts w:ascii="Times New Roman" w:hAnsi="Times New Roman"/>
          <w:bCs/>
          <w:sz w:val="24"/>
          <w:szCs w:val="24"/>
          <w:lang w:val="uz-Cyrl-UZ"/>
        </w:rPr>
        <w:t>mavjud infratuzilmadan foydalanishdagi muammolar (elektr energiya, gaz, suv, issiqlik manbai, kanalizatsiya va b.);</w:t>
      </w:r>
    </w:p>
    <w:p w:rsidR="00760609" w:rsidRPr="00657800" w:rsidRDefault="00760609" w:rsidP="00657800">
      <w:pPr>
        <w:pStyle w:val="ListParagraph"/>
        <w:widowControl w:val="0"/>
        <w:numPr>
          <w:ilvl w:val="0"/>
          <w:numId w:val="1"/>
        </w:numPr>
        <w:tabs>
          <w:tab w:val="left" w:pos="993"/>
        </w:tabs>
        <w:spacing w:after="0" w:line="240" w:lineRule="auto"/>
        <w:ind w:left="990" w:hanging="270"/>
        <w:jc w:val="both"/>
        <w:rPr>
          <w:rFonts w:ascii="Times New Roman" w:hAnsi="Times New Roman"/>
          <w:bCs/>
          <w:sz w:val="24"/>
          <w:szCs w:val="24"/>
          <w:lang w:val="uz-Cyrl-UZ"/>
        </w:rPr>
      </w:pPr>
      <w:r w:rsidRPr="00657800">
        <w:rPr>
          <w:rFonts w:ascii="Times New Roman" w:hAnsi="Times New Roman"/>
          <w:bCs/>
          <w:sz w:val="24"/>
          <w:szCs w:val="24"/>
          <w:lang w:val="uz-Cyrl-UZ"/>
        </w:rPr>
        <w:t>mahalliy hokimliklar tomonidan u yoki bu masalalarni hal etishga oid qarorlarni tezkorlik bilan qabul qilinmasligi, byurokratik to‘siqlarning mavjudligi va boshqalar.</w:t>
      </w:r>
    </w:p>
    <w:p w:rsidR="00760609" w:rsidRPr="00657800" w:rsidRDefault="00760609" w:rsidP="00657800">
      <w:pPr>
        <w:widowControl w:val="0"/>
        <w:tabs>
          <w:tab w:val="left" w:pos="0"/>
        </w:tabs>
        <w:ind w:firstLine="709"/>
        <w:jc w:val="both"/>
        <w:rPr>
          <w:bCs/>
          <w:sz w:val="24"/>
          <w:lang w:val="uz-Cyrl-UZ"/>
        </w:rPr>
      </w:pPr>
      <w:r w:rsidRPr="00657800">
        <w:rPr>
          <w:bCs/>
          <w:sz w:val="24"/>
          <w:lang w:val="uz-Cyrl-UZ"/>
        </w:rPr>
        <w:t>Ushbu muammolarni hal qilinishi iqtisodiyotni modernizatsiyalash sharoitida mamlakatning investitsion jozibadorligini oshirish va barqaror iqtisodiy o‘sishni ta’minlashga asos bo‘lib xizmat qiladi.</w:t>
      </w:r>
    </w:p>
    <w:p w:rsidR="00657800" w:rsidRPr="00657800" w:rsidRDefault="00657800" w:rsidP="00657800">
      <w:pPr>
        <w:jc w:val="both"/>
        <w:rPr>
          <w:sz w:val="24"/>
          <w:lang w:val="en-US"/>
        </w:rPr>
      </w:pPr>
    </w:p>
    <w:p w:rsidR="00760609" w:rsidRPr="00657800" w:rsidRDefault="00760609" w:rsidP="00657800">
      <w:pPr>
        <w:jc w:val="both"/>
        <w:rPr>
          <w:b/>
          <w:szCs w:val="28"/>
          <w:lang w:val="en-US"/>
        </w:rPr>
      </w:pPr>
      <w:r w:rsidRPr="00657800">
        <w:rPr>
          <w:b/>
          <w:szCs w:val="28"/>
          <w:lang w:val="en-US"/>
        </w:rPr>
        <w:t>Foydalanilgan adabiyotlar:</w:t>
      </w:r>
    </w:p>
    <w:p w:rsidR="00760609" w:rsidRPr="00657800" w:rsidRDefault="00760609" w:rsidP="00657800">
      <w:pPr>
        <w:pStyle w:val="FootnoteText"/>
        <w:numPr>
          <w:ilvl w:val="0"/>
          <w:numId w:val="2"/>
        </w:numPr>
        <w:jc w:val="both"/>
        <w:rPr>
          <w:sz w:val="24"/>
          <w:szCs w:val="24"/>
          <w:lang w:val="uz-Cyrl-UZ"/>
        </w:rPr>
      </w:pPr>
      <w:r w:rsidRPr="00657800">
        <w:rPr>
          <w:sz w:val="24"/>
          <w:szCs w:val="24"/>
          <w:lang w:val="uz-Cyrl-UZ"/>
        </w:rPr>
        <w:t>Йиллик статистик тўплам: 2010-2018. Ўзбекистон Республикаси Давлат Стати</w:t>
      </w:r>
      <w:r w:rsidRPr="00657800">
        <w:rPr>
          <w:sz w:val="24"/>
          <w:szCs w:val="24"/>
        </w:rPr>
        <w:t>с</w:t>
      </w:r>
      <w:r w:rsidRPr="00657800">
        <w:rPr>
          <w:sz w:val="24"/>
          <w:szCs w:val="24"/>
          <w:lang w:val="uz-Cyrl-UZ"/>
        </w:rPr>
        <w:t>тика қўмитаси. - Т., 2019. -Б. 228.</w:t>
      </w:r>
    </w:p>
    <w:p w:rsidR="00760609" w:rsidRPr="00657800" w:rsidRDefault="00FF12E7" w:rsidP="00657800">
      <w:pPr>
        <w:pStyle w:val="ListParagraph"/>
        <w:numPr>
          <w:ilvl w:val="0"/>
          <w:numId w:val="2"/>
        </w:numPr>
        <w:spacing w:line="240" w:lineRule="auto"/>
        <w:jc w:val="both"/>
        <w:rPr>
          <w:rStyle w:val="Hyperlink"/>
          <w:rFonts w:ascii="Times New Roman" w:hAnsi="Times New Roman"/>
          <w:b/>
          <w:color w:val="auto"/>
          <w:sz w:val="24"/>
          <w:szCs w:val="24"/>
          <w:u w:val="none"/>
          <w:lang w:val="uz-Cyrl-UZ"/>
        </w:rPr>
      </w:pPr>
      <w:hyperlink r:id="rId11" w:history="1">
        <w:r w:rsidR="00760609" w:rsidRPr="00657800">
          <w:rPr>
            <w:rStyle w:val="Hyperlink"/>
            <w:rFonts w:ascii="Times New Roman" w:hAnsi="Times New Roman"/>
            <w:color w:val="auto"/>
            <w:sz w:val="24"/>
            <w:szCs w:val="24"/>
            <w:lang w:val="uz-Cyrl-UZ"/>
          </w:rPr>
          <w:t>https://www.rbc.ru/economics/03/04/2020/5e8787ba9a794735cc3eb76e</w:t>
        </w:r>
      </w:hyperlink>
    </w:p>
    <w:p w:rsidR="00760609" w:rsidRPr="00657800" w:rsidRDefault="00FF12E7" w:rsidP="00657800">
      <w:pPr>
        <w:pStyle w:val="ListParagraph"/>
        <w:numPr>
          <w:ilvl w:val="0"/>
          <w:numId w:val="2"/>
        </w:numPr>
        <w:spacing w:line="240" w:lineRule="auto"/>
        <w:jc w:val="both"/>
        <w:rPr>
          <w:rFonts w:ascii="Times New Roman" w:hAnsi="Times New Roman"/>
          <w:b/>
          <w:sz w:val="24"/>
          <w:szCs w:val="24"/>
          <w:lang w:val="uz-Cyrl-UZ"/>
        </w:rPr>
      </w:pPr>
      <w:hyperlink r:id="rId12" w:history="1">
        <w:r w:rsidR="00760609" w:rsidRPr="00657800">
          <w:rPr>
            <w:rStyle w:val="Hyperlink"/>
            <w:rFonts w:ascii="Times New Roman" w:hAnsi="Times New Roman"/>
            <w:color w:val="auto"/>
            <w:sz w:val="24"/>
            <w:szCs w:val="24"/>
            <w:lang w:val="uz-Cyrl-UZ"/>
          </w:rPr>
          <w:t>https://www.imf.org/en/Publications/WEO/Issues/2020/06/24/WEOUpdateJune2020</w:t>
        </w:r>
      </w:hyperlink>
    </w:p>
    <w:p w:rsidR="00760609" w:rsidRPr="00657800" w:rsidRDefault="00FF12E7" w:rsidP="00657800">
      <w:pPr>
        <w:pStyle w:val="ListParagraph"/>
        <w:numPr>
          <w:ilvl w:val="0"/>
          <w:numId w:val="2"/>
        </w:numPr>
        <w:spacing w:line="240" w:lineRule="auto"/>
        <w:jc w:val="both"/>
        <w:rPr>
          <w:rStyle w:val="Hyperlink"/>
          <w:rFonts w:ascii="Times New Roman" w:hAnsi="Times New Roman"/>
          <w:b/>
          <w:color w:val="auto"/>
          <w:sz w:val="24"/>
          <w:szCs w:val="24"/>
          <w:u w:val="none"/>
          <w:lang w:val="uz-Cyrl-UZ"/>
        </w:rPr>
      </w:pPr>
      <w:hyperlink r:id="rId13" w:history="1">
        <w:r w:rsidR="00760609" w:rsidRPr="00657800">
          <w:rPr>
            <w:rStyle w:val="Hyperlink"/>
            <w:rFonts w:ascii="Times New Roman" w:hAnsi="Times New Roman"/>
            <w:color w:val="auto"/>
            <w:sz w:val="24"/>
            <w:szCs w:val="24"/>
            <w:lang w:val="uz-Cyrl-UZ"/>
          </w:rPr>
          <w:t>https://www.iea.org/reports/world-energy-investment-2020</w:t>
        </w:r>
      </w:hyperlink>
    </w:p>
    <w:p w:rsidR="00760609" w:rsidRPr="00657800" w:rsidRDefault="00760609" w:rsidP="00657800">
      <w:pPr>
        <w:pStyle w:val="ListParagraph"/>
        <w:numPr>
          <w:ilvl w:val="0"/>
          <w:numId w:val="2"/>
        </w:numPr>
        <w:spacing w:line="240" w:lineRule="auto"/>
        <w:jc w:val="both"/>
        <w:rPr>
          <w:rFonts w:ascii="Times New Roman" w:hAnsi="Times New Roman"/>
          <w:b/>
          <w:sz w:val="24"/>
          <w:szCs w:val="24"/>
          <w:lang w:val="uz-Cyrl-UZ"/>
        </w:rPr>
      </w:pPr>
      <w:r w:rsidRPr="00657800">
        <w:rPr>
          <w:rFonts w:ascii="Times New Roman" w:hAnsi="Times New Roman"/>
          <w:sz w:val="24"/>
          <w:szCs w:val="24"/>
          <w:lang w:val="uz-Cyrl-UZ"/>
        </w:rPr>
        <w:t>http:/www.stat.uz</w:t>
      </w:r>
    </w:p>
    <w:p w:rsidR="00760609" w:rsidRPr="00657800" w:rsidRDefault="00FF12E7" w:rsidP="00657800">
      <w:pPr>
        <w:pStyle w:val="ListParagraph"/>
        <w:numPr>
          <w:ilvl w:val="0"/>
          <w:numId w:val="2"/>
        </w:numPr>
        <w:spacing w:line="240" w:lineRule="auto"/>
        <w:jc w:val="both"/>
        <w:rPr>
          <w:rFonts w:ascii="Times New Roman" w:hAnsi="Times New Roman"/>
          <w:b/>
          <w:sz w:val="24"/>
          <w:szCs w:val="24"/>
          <w:lang w:val="uz-Cyrl-UZ"/>
        </w:rPr>
      </w:pPr>
      <w:hyperlink r:id="rId14" w:history="1">
        <w:r w:rsidR="00760609" w:rsidRPr="00657800">
          <w:rPr>
            <w:rStyle w:val="Hyperlink"/>
            <w:rFonts w:ascii="Times New Roman" w:hAnsi="Times New Roman"/>
            <w:color w:val="auto"/>
            <w:sz w:val="24"/>
            <w:szCs w:val="24"/>
            <w:lang w:val="uz-Cyrl-UZ"/>
          </w:rPr>
          <w:t>https://www.economist.com/leaders/2019/12/21/which-nation-improved-the-most-in-2019</w:t>
        </w:r>
      </w:hyperlink>
    </w:p>
    <w:p w:rsidR="00760609" w:rsidRPr="00657800" w:rsidRDefault="00760609" w:rsidP="00657800">
      <w:pPr>
        <w:jc w:val="both"/>
        <w:rPr>
          <w:sz w:val="24"/>
          <w:lang w:val="uz-Cyrl-UZ"/>
        </w:rPr>
      </w:pPr>
    </w:p>
    <w:sectPr w:rsidR="00760609" w:rsidRPr="00657800" w:rsidSect="00657800">
      <w:headerReference w:type="default" r:id="rId15"/>
      <w:footerReference w:type="default" r:id="rId16"/>
      <w:type w:val="nextColumn"/>
      <w:pgSz w:w="11900" w:h="16840" w:code="9"/>
      <w:pgMar w:top="720" w:right="720" w:bottom="720" w:left="720" w:header="432" w:footer="432" w:gutter="0"/>
      <w:paperSrc w:first="7" w:other="7"/>
      <w:pgNumType w:start="129"/>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2E7" w:rsidRDefault="00FF12E7" w:rsidP="003C4BA9">
      <w:r>
        <w:separator/>
      </w:r>
    </w:p>
  </w:endnote>
  <w:endnote w:type="continuationSeparator" w:id="0">
    <w:p w:rsidR="00FF12E7" w:rsidRDefault="00FF12E7" w:rsidP="003C4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800" w:rsidRDefault="00FF12E7" w:rsidP="00657800">
    <w:pPr>
      <w:pStyle w:val="Footer"/>
      <w:jc w:val="center"/>
    </w:pPr>
    <w:r>
      <w:pict>
        <v:shapetype id="_x0000_t110" coordsize="21600,21600" o:spt="110" path="m10800,l,10800,10800,21600,21600,10800xe">
          <v:stroke joinstyle="miter"/>
          <v:path gradientshapeok="t" o:connecttype="rect" textboxrect="5400,5400,16200,16200"/>
        </v:shapetype>
        <v:shape id="Flowchart: Decision 37" o:spid="_x0000_s2049" type="#_x0000_t110" style="width:430.5pt;height:4.3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" fillcolor="#002060" strokecolor="#002060">
          <w10:anchorlock/>
        </v:shape>
      </w:pict>
    </w:r>
  </w:p>
  <w:p w:rsidR="00657800" w:rsidRPr="00D60C34" w:rsidRDefault="00657800" w:rsidP="00657800">
    <w:pPr>
      <w:pStyle w:val="Footer"/>
      <w:jc w:val="center"/>
      <w:rPr>
        <w:b/>
        <w:color w:val="002060"/>
      </w:rPr>
    </w:pPr>
    <w:r w:rsidRPr="00D60C34">
      <w:rPr>
        <w:b/>
        <w:color w:val="002060"/>
      </w:rPr>
      <w:fldChar w:fldCharType="begin"/>
    </w:r>
    <w:r w:rsidRPr="00D60C34">
      <w:rPr>
        <w:b/>
        <w:color w:val="002060"/>
      </w:rPr>
      <w:instrText xml:space="preserve"> PAGE    \* MERGEFORMAT </w:instrText>
    </w:r>
    <w:r w:rsidRPr="00D60C34">
      <w:rPr>
        <w:b/>
        <w:color w:val="002060"/>
      </w:rPr>
      <w:fldChar w:fldCharType="separate"/>
    </w:r>
    <w:r w:rsidR="00784F7D">
      <w:rPr>
        <w:b/>
        <w:noProof/>
        <w:color w:val="002060"/>
      </w:rPr>
      <w:t>131</w:t>
    </w:r>
    <w:r w:rsidRPr="00D60C34">
      <w:rPr>
        <w:b/>
        <w:color w:val="00206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2E7" w:rsidRDefault="00FF12E7" w:rsidP="003C4BA9">
      <w:r>
        <w:separator/>
      </w:r>
    </w:p>
  </w:footnote>
  <w:footnote w:type="continuationSeparator" w:id="0">
    <w:p w:rsidR="00FF12E7" w:rsidRDefault="00FF12E7" w:rsidP="003C4BA9">
      <w:r>
        <w:continuationSeparator/>
      </w:r>
    </w:p>
  </w:footnote>
  <w:footnote w:id="1">
    <w:p w:rsidR="00760609" w:rsidRDefault="00760609" w:rsidP="003C4BA9">
      <w:pPr>
        <w:pStyle w:val="FootnoteText"/>
        <w:jc w:val="both"/>
      </w:pPr>
      <w:r w:rsidRPr="00BE2A35">
        <w:rPr>
          <w:rStyle w:val="FootnoteReference"/>
        </w:rPr>
        <w:footnoteRef/>
      </w:r>
      <w:r w:rsidRPr="00BE2A35">
        <w:rPr>
          <w:lang w:val="uz-Cyrl-UZ"/>
        </w:rPr>
        <w:t xml:space="preserve"> </w:t>
      </w:r>
      <w:hyperlink r:id="rId1" w:history="1">
        <w:r w:rsidRPr="00BE2A35">
          <w:rPr>
            <w:rStyle w:val="Hyperlink"/>
            <w:lang w:val="uz-Cyrl-UZ"/>
          </w:rPr>
          <w:t>https://www.rbc.ru/economics/03/04/2020/5e8787ba9a794735cc3eb76e</w:t>
        </w:r>
      </w:hyperlink>
    </w:p>
  </w:footnote>
  <w:footnote w:id="2">
    <w:p w:rsidR="00760609" w:rsidRDefault="00760609" w:rsidP="003C4BA9">
      <w:pPr>
        <w:pStyle w:val="FootnoteText"/>
        <w:jc w:val="both"/>
      </w:pPr>
      <w:r w:rsidRPr="00BE2A35">
        <w:rPr>
          <w:rStyle w:val="FootnoteReference"/>
        </w:rPr>
        <w:footnoteRef/>
      </w:r>
      <w:r w:rsidRPr="00BE2A35">
        <w:rPr>
          <w:lang w:val="uz-Cyrl-UZ"/>
        </w:rPr>
        <w:t xml:space="preserve"> https://www.imf.org/en/Publications/WEO/Issues/2020/06/24/WEOUpdateJune2020</w:t>
      </w:r>
    </w:p>
  </w:footnote>
  <w:footnote w:id="3">
    <w:p w:rsidR="00760609" w:rsidRDefault="00760609" w:rsidP="003C4BA9">
      <w:pPr>
        <w:pStyle w:val="FootnoteText"/>
        <w:jc w:val="both"/>
      </w:pPr>
      <w:r w:rsidRPr="00BE2A35">
        <w:rPr>
          <w:rStyle w:val="FootnoteReference"/>
        </w:rPr>
        <w:footnoteRef/>
      </w:r>
      <w:r w:rsidRPr="00BE2A35">
        <w:rPr>
          <w:lang w:val="uz-Cyrl-UZ"/>
        </w:rPr>
        <w:t xml:space="preserve"> https://www.iea.org/reports/world-energy-investment-2020</w:t>
      </w:r>
    </w:p>
  </w:footnote>
  <w:footnote w:id="4">
    <w:p w:rsidR="00760609" w:rsidRDefault="00760609" w:rsidP="003C4BA9">
      <w:pPr>
        <w:pStyle w:val="FootnoteText"/>
        <w:jc w:val="both"/>
      </w:pPr>
      <w:r w:rsidRPr="00BE2A35">
        <w:rPr>
          <w:rStyle w:val="FootnoteReference"/>
        </w:rPr>
        <w:footnoteRef/>
      </w:r>
      <w:r w:rsidRPr="00BE2A35">
        <w:rPr>
          <w:lang w:val="en-US"/>
        </w:rPr>
        <w:t xml:space="preserve"> The</w:t>
      </w:r>
      <w:r>
        <w:rPr>
          <w:lang w:val="en-US"/>
        </w:rPr>
        <w:t xml:space="preserve"> </w:t>
      </w:r>
      <w:r w:rsidRPr="00BE2A35">
        <w:rPr>
          <w:lang w:val="en-US"/>
        </w:rPr>
        <w:t xml:space="preserve">World Bank. </w:t>
      </w:r>
      <w:r>
        <w:rPr>
          <w:lang w:val="uz-Cyrl-UZ"/>
        </w:rPr>
        <w:t>Gross capital formation.</w:t>
      </w:r>
      <w:r>
        <w:rPr>
          <w:lang w:val="en-US"/>
        </w:rPr>
        <w:t xml:space="preserve"> </w:t>
      </w:r>
      <w:hyperlink r:id="rId2" w:history="1">
        <w:r w:rsidRPr="00EC2634">
          <w:rPr>
            <w:rStyle w:val="Hyperlink"/>
            <w:lang w:val="uz-Cyrl-UZ"/>
          </w:rPr>
          <w:t>https://data.worldbank.org/indicator/NE.GDI.TOTL.</w:t>
        </w:r>
        <w:r w:rsidRPr="00EC2634">
          <w:rPr>
            <w:rStyle w:val="Hyperlink"/>
            <w:lang w:val="en-US"/>
          </w:rPr>
          <w:t xml:space="preserve"> </w:t>
        </w:r>
        <w:r w:rsidRPr="00EC2634">
          <w:rPr>
            <w:rStyle w:val="Hyperlink"/>
            <w:lang w:val="uz-Cyrl-UZ"/>
          </w:rPr>
          <w:t>CD?end=2018</w:t>
        </w:r>
        <w:r w:rsidRPr="00EC2634">
          <w:rPr>
            <w:rStyle w:val="Hyperlink"/>
            <w:lang w:val="en-US"/>
          </w:rPr>
          <w:t xml:space="preserve"> </w:t>
        </w:r>
        <w:r w:rsidRPr="00EC2634">
          <w:rPr>
            <w:rStyle w:val="Hyperlink"/>
            <w:lang w:val="uz-Cyrl-UZ"/>
          </w:rPr>
          <w:t>&amp;name_desc=true&amp;start=2006</w:t>
        </w:r>
      </w:hyperlink>
      <w:r w:rsidRPr="00BE2A35">
        <w:rPr>
          <w:lang w:val="uz-Cyrl-UZ"/>
        </w:rPr>
        <w:t xml:space="preserve"> </w:t>
      </w:r>
    </w:p>
  </w:footnote>
  <w:footnote w:id="5">
    <w:p w:rsidR="00760609" w:rsidRDefault="00760609" w:rsidP="003C4BA9">
      <w:pPr>
        <w:pStyle w:val="FootnoteText"/>
        <w:jc w:val="both"/>
      </w:pPr>
      <w:r w:rsidRPr="00BE2A35">
        <w:rPr>
          <w:rStyle w:val="FootnoteReference"/>
        </w:rPr>
        <w:footnoteRef/>
      </w:r>
      <w:r w:rsidRPr="00BE2A35">
        <w:rPr>
          <w:lang w:val="uz-Cyrl-UZ"/>
        </w:rPr>
        <w:t xml:space="preserve"> Йиллик статистик тўплам: 2010-2018. Ўзбекистон Республикаси Давлат Стати</w:t>
      </w:r>
      <w:r>
        <w:t>с</w:t>
      </w:r>
      <w:r w:rsidRPr="00BE2A35">
        <w:rPr>
          <w:lang w:val="uz-Cyrl-UZ"/>
        </w:rPr>
        <w:t>тика қўмитаси. - Т., 2019. -Б. 228.</w:t>
      </w:r>
    </w:p>
  </w:footnote>
  <w:footnote w:id="6">
    <w:p w:rsidR="00760609" w:rsidRDefault="00760609" w:rsidP="003C4BA9">
      <w:pPr>
        <w:pStyle w:val="FootnoteText"/>
        <w:jc w:val="both"/>
      </w:pPr>
      <w:r w:rsidRPr="00BE2A35">
        <w:rPr>
          <w:rStyle w:val="FootnoteReference"/>
        </w:rPr>
        <w:footnoteRef/>
      </w:r>
      <w:r w:rsidRPr="00BE2A35">
        <w:rPr>
          <w:lang w:val="uz-Cyrl-UZ"/>
        </w:rPr>
        <w:t xml:space="preserve"> Йиллик статистик тўплам: 2010-2018. Ўзбекистон Республикаси Давлат Статистика қўмитаси. - Т., 2019. -Б. 249.</w:t>
      </w:r>
    </w:p>
  </w:footnote>
  <w:footnote w:id="7">
    <w:p w:rsidR="00760609" w:rsidRDefault="00760609" w:rsidP="003C4BA9">
      <w:pPr>
        <w:pStyle w:val="FootnoteText"/>
        <w:jc w:val="both"/>
      </w:pPr>
      <w:r w:rsidRPr="00BE2A35">
        <w:rPr>
          <w:rStyle w:val="FootnoteReference"/>
        </w:rPr>
        <w:footnoteRef/>
      </w:r>
      <w:r w:rsidRPr="00BE2A35">
        <w:rPr>
          <w:lang w:val="uz-Cyrl-UZ"/>
        </w:rPr>
        <w:t xml:space="preserve"> Йиллик статистик тўплам: 2010-2018. Ўзбекистон Республикаси Давлат Статистика қўмитаси. - Т., 2019. -Б. 226.</w:t>
      </w:r>
    </w:p>
  </w:footnote>
  <w:footnote w:id="8">
    <w:p w:rsidR="00760609" w:rsidRDefault="00760609" w:rsidP="003C4BA9">
      <w:pPr>
        <w:pStyle w:val="FootnoteText"/>
        <w:jc w:val="both"/>
      </w:pPr>
      <w:r w:rsidRPr="00BE2A35">
        <w:rPr>
          <w:rStyle w:val="FootnoteReference"/>
        </w:rPr>
        <w:footnoteRef/>
      </w:r>
      <w:r w:rsidRPr="00BE2A35">
        <w:rPr>
          <w:lang w:val="uz-Cyrl-UZ"/>
        </w:rPr>
        <w:t xml:space="preserve"> </w:t>
      </w:r>
      <w:r w:rsidRPr="00885E34">
        <w:rPr>
          <w:lang w:val="uz-Cyrl-UZ"/>
        </w:rPr>
        <w:t>http:/www.stat.uz</w:t>
      </w:r>
    </w:p>
  </w:footnote>
  <w:footnote w:id="9">
    <w:p w:rsidR="00760609" w:rsidRDefault="00760609" w:rsidP="003C4BA9">
      <w:pPr>
        <w:jc w:val="both"/>
      </w:pPr>
      <w:r w:rsidRPr="00BE2A35">
        <w:rPr>
          <w:rStyle w:val="FootnoteReference"/>
          <w:sz w:val="20"/>
          <w:szCs w:val="20"/>
        </w:rPr>
        <w:footnoteRef/>
      </w:r>
      <w:r w:rsidRPr="00BE2A35">
        <w:rPr>
          <w:sz w:val="20"/>
          <w:szCs w:val="20"/>
          <w:lang w:val="uz-Cyrl-UZ"/>
        </w:rPr>
        <w:t xml:space="preserve"> </w:t>
      </w:r>
      <w:hyperlink r:id="rId3" w:history="1">
        <w:r w:rsidRPr="00BE2A35">
          <w:rPr>
            <w:rStyle w:val="Hyperlink"/>
            <w:sz w:val="20"/>
            <w:szCs w:val="20"/>
            <w:lang w:val="uz-Cyrl-UZ"/>
          </w:rPr>
          <w:t>https://www.economist.com/leaders/2019/12/21/which-nation-improved-the-most-in-2019</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800" w:rsidRPr="004E761C" w:rsidRDefault="00657800" w:rsidP="00657800">
    <w:pPr>
      <w:pStyle w:val="Header"/>
      <w:jc w:val="right"/>
      <w:rPr>
        <w:rFonts w:ascii="Calibri" w:hAnsi="Calibri" w:cs="Calibri"/>
        <w:b/>
        <w:color w:val="002060"/>
        <w:sz w:val="22"/>
        <w:szCs w:val="22"/>
      </w:rPr>
    </w:pPr>
    <w:r w:rsidRPr="004E761C">
      <w:rPr>
        <w:rFonts w:ascii="Calibri" w:hAnsi="Calibri" w:cs="Calibri"/>
        <w:b/>
        <w:color w:val="002060"/>
        <w:sz w:val="22"/>
        <w:szCs w:val="22"/>
      </w:rPr>
      <w:t xml:space="preserve">Proceedings of Ingenious Global Thoughts </w:t>
    </w:r>
  </w:p>
  <w:p w:rsidR="00657800" w:rsidRPr="004E761C" w:rsidRDefault="00657800" w:rsidP="00657800">
    <w:pPr>
      <w:pStyle w:val="Header"/>
      <w:jc w:val="right"/>
      <w:rPr>
        <w:rFonts w:ascii="Calibri" w:hAnsi="Calibri" w:cs="Calibri"/>
        <w:b/>
        <w:color w:val="002060"/>
        <w:sz w:val="22"/>
        <w:szCs w:val="22"/>
      </w:rPr>
    </w:pPr>
    <w:r w:rsidRPr="004E761C">
      <w:rPr>
        <w:rFonts w:ascii="Calibri" w:hAnsi="Calibri" w:cs="Calibri"/>
        <w:b/>
        <w:color w:val="002060"/>
        <w:sz w:val="22"/>
        <w:szCs w:val="22"/>
      </w:rPr>
      <w:t>An International Multidisciplinary Scientific Conference</w:t>
    </w:r>
  </w:p>
  <w:p w:rsidR="00657800" w:rsidRPr="004E761C" w:rsidRDefault="00657800" w:rsidP="00657800">
    <w:pPr>
      <w:pStyle w:val="Header"/>
      <w:jc w:val="right"/>
      <w:rPr>
        <w:rFonts w:ascii="Calibri" w:hAnsi="Calibri" w:cs="Calibri"/>
        <w:sz w:val="22"/>
        <w:szCs w:val="22"/>
      </w:rPr>
    </w:pPr>
    <w:r w:rsidRPr="004E761C">
      <w:rPr>
        <w:rFonts w:ascii="Calibri" w:hAnsi="Calibri" w:cs="Calibri"/>
        <w:sz w:val="22"/>
        <w:szCs w:val="22"/>
      </w:rPr>
      <w:t>Hosted from San Jose, California</w:t>
    </w:r>
  </w:p>
  <w:p w:rsidR="00657800" w:rsidRPr="004E761C" w:rsidRDefault="00657800" w:rsidP="00657800">
    <w:pPr>
      <w:pStyle w:val="Header"/>
      <w:pBdr>
        <w:bottom w:val="single" w:sz="12" w:space="1" w:color="auto"/>
      </w:pBdr>
      <w:jc w:val="right"/>
      <w:rPr>
        <w:rFonts w:ascii="Calibri" w:hAnsi="Calibri" w:cs="Calibri"/>
        <w:color w:val="984806"/>
        <w:sz w:val="22"/>
        <w:szCs w:val="22"/>
      </w:rPr>
    </w:pPr>
    <w:r w:rsidRPr="004E761C">
      <w:rPr>
        <w:rFonts w:ascii="Calibri" w:hAnsi="Calibri" w:cs="Calibri"/>
        <w:color w:val="984806"/>
        <w:sz w:val="22"/>
        <w:szCs w:val="22"/>
      </w:rPr>
      <w:t>https://conferencepublication.com</w:t>
    </w:r>
    <w:r w:rsidRPr="004E761C">
      <w:rPr>
        <w:rFonts w:ascii="Calibri" w:hAnsi="Calibri" w:cs="Calibri"/>
        <w:color w:val="984806"/>
        <w:sz w:val="22"/>
        <w:szCs w:val="22"/>
      </w:rPr>
      <w:tab/>
    </w:r>
    <w:r w:rsidRPr="004E761C">
      <w:rPr>
        <w:rFonts w:ascii="Calibri" w:hAnsi="Calibri" w:cs="Calibri"/>
        <w:color w:val="984806"/>
        <w:sz w:val="22"/>
        <w:szCs w:val="22"/>
      </w:rPr>
      <w:tab/>
      <w:t>November 29</w:t>
    </w:r>
    <w:r w:rsidRPr="004E761C">
      <w:rPr>
        <w:rFonts w:ascii="Calibri" w:hAnsi="Calibri" w:cs="Calibri"/>
        <w:color w:val="984806"/>
        <w:sz w:val="22"/>
        <w:szCs w:val="22"/>
        <w:vertAlign w:val="superscript"/>
      </w:rPr>
      <w:t>th</w:t>
    </w:r>
    <w:r w:rsidRPr="004E761C">
      <w:rPr>
        <w:rFonts w:ascii="Calibri" w:hAnsi="Calibri" w:cs="Calibri"/>
        <w:color w:val="984806"/>
        <w:sz w:val="22"/>
        <w:szCs w:val="22"/>
      </w:rPr>
      <w:t>,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0976C2"/>
    <w:multiLevelType w:val="hybridMultilevel"/>
    <w:tmpl w:val="DB54A6A0"/>
    <w:lvl w:ilvl="0" w:tplc="DFD47BA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753A75F4"/>
    <w:multiLevelType w:val="hybridMultilevel"/>
    <w:tmpl w:val="17021382"/>
    <w:lvl w:ilvl="0" w:tplc="D520BD5A">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5078"/>
    <w:rsid w:val="00015078"/>
    <w:rsid w:val="00035E5A"/>
    <w:rsid w:val="00043067"/>
    <w:rsid w:val="000C5935"/>
    <w:rsid w:val="000E0403"/>
    <w:rsid w:val="000F6E69"/>
    <w:rsid w:val="00195741"/>
    <w:rsid w:val="001B3540"/>
    <w:rsid w:val="00275C4B"/>
    <w:rsid w:val="0036654E"/>
    <w:rsid w:val="003C4BA9"/>
    <w:rsid w:val="003F41D8"/>
    <w:rsid w:val="00482C02"/>
    <w:rsid w:val="004C6560"/>
    <w:rsid w:val="004E761C"/>
    <w:rsid w:val="004F40D2"/>
    <w:rsid w:val="00512432"/>
    <w:rsid w:val="00532468"/>
    <w:rsid w:val="0057507A"/>
    <w:rsid w:val="005A6F27"/>
    <w:rsid w:val="0062394D"/>
    <w:rsid w:val="00627A0D"/>
    <w:rsid w:val="006413CD"/>
    <w:rsid w:val="00646853"/>
    <w:rsid w:val="00657800"/>
    <w:rsid w:val="006C045C"/>
    <w:rsid w:val="00717540"/>
    <w:rsid w:val="00760609"/>
    <w:rsid w:val="00764742"/>
    <w:rsid w:val="00784F7D"/>
    <w:rsid w:val="00792BBE"/>
    <w:rsid w:val="007B06F2"/>
    <w:rsid w:val="007F263B"/>
    <w:rsid w:val="008555D5"/>
    <w:rsid w:val="00885E34"/>
    <w:rsid w:val="008B66D2"/>
    <w:rsid w:val="008F4A45"/>
    <w:rsid w:val="00924D84"/>
    <w:rsid w:val="009E5A73"/>
    <w:rsid w:val="00A0319A"/>
    <w:rsid w:val="00A62B11"/>
    <w:rsid w:val="00A81624"/>
    <w:rsid w:val="00AE7F23"/>
    <w:rsid w:val="00B6322E"/>
    <w:rsid w:val="00BE2A35"/>
    <w:rsid w:val="00BF38AE"/>
    <w:rsid w:val="00C1640E"/>
    <w:rsid w:val="00C26A9A"/>
    <w:rsid w:val="00C709B4"/>
    <w:rsid w:val="00D20605"/>
    <w:rsid w:val="00D33FE0"/>
    <w:rsid w:val="00D75B7C"/>
    <w:rsid w:val="00DF627A"/>
    <w:rsid w:val="00E71A03"/>
    <w:rsid w:val="00E74D68"/>
    <w:rsid w:val="00EC2634"/>
    <w:rsid w:val="00EF4FC9"/>
    <w:rsid w:val="00EF576A"/>
    <w:rsid w:val="00F00A91"/>
    <w:rsid w:val="00F44EAF"/>
    <w:rsid w:val="00F45AAC"/>
    <w:rsid w:val="00F65633"/>
    <w:rsid w:val="00F9625F"/>
    <w:rsid w:val="00FE6AF1"/>
    <w:rsid w:val="00FF1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A9"/>
    <w:rPr>
      <w:sz w:val="28"/>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S,fn,fn Знак,Текст сноски Знак1,Текст сноски Знак Знак,Текст сноски Знак1 Знак Знак,Текст сноски Знак Знак Знак Знак,Текст сноски Знак1 Знак Знак Знак Знак1,Текст сноски Знак Знак Знак Знак Знак Знак1"/>
    <w:basedOn w:val="Normal"/>
    <w:link w:val="FootnoteTextChar2"/>
    <w:uiPriority w:val="99"/>
    <w:rsid w:val="003C4BA9"/>
    <w:rPr>
      <w:sz w:val="20"/>
      <w:szCs w:val="20"/>
    </w:rPr>
  </w:style>
  <w:style w:type="character" w:customStyle="1" w:styleId="FootnoteTextChar">
    <w:name w:val="Footnote Text Char"/>
    <w:aliases w:val="single space Char,FOOTNOTES Char,fn Char,fn Знак Char,Текст сноски Знак1 Char,Текст сноски Знак Знак Char,Текст сноски Знак1 Знак Знак Char,Текст сноски Знак Знак Знак Знак Char,Текст сноски Знак1 Знак Знак Знак Знак1 Char"/>
    <w:uiPriority w:val="99"/>
    <w:semiHidden/>
    <w:rsid w:val="00174715"/>
    <w:rPr>
      <w:sz w:val="20"/>
      <w:szCs w:val="20"/>
    </w:rPr>
  </w:style>
  <w:style w:type="character" w:customStyle="1" w:styleId="FootnoteTextChar2">
    <w:name w:val="Footnote Text Char2"/>
    <w:aliases w:val="single space Char1,FOOTNOTES Char1,fn Char1,fn Знак Char1,Текст сноски Знак1 Char1,Текст сноски Знак Знак Char1,Текст сноски Знак1 Знак Знак Char1,Текст сноски Знак Знак Знак Знак Char1,Текст сноски Знак1 Знак Знак Знак Знак1 Char1"/>
    <w:link w:val="FootnoteText"/>
    <w:uiPriority w:val="99"/>
    <w:locked/>
    <w:rsid w:val="003C4BA9"/>
    <w:rPr>
      <w:rFonts w:cs="Times New Roman"/>
    </w:rPr>
  </w:style>
  <w:style w:type="character" w:styleId="FootnoteReference">
    <w:name w:val="footnote reference"/>
    <w:aliases w:val="ftref,16 Point,Superscript 6 Point,Appel note de bas de p,Footnote Reference/,Мой Текст сноски,Footnote Text Char1,FZ,Footnote Text Char11,Footnote Text Char111,Referencia nota al pie,Знак сноски-FN,fr"/>
    <w:uiPriority w:val="99"/>
    <w:rsid w:val="003C4BA9"/>
    <w:rPr>
      <w:rFonts w:cs="Times New Roman"/>
      <w:vertAlign w:val="superscript"/>
    </w:rPr>
  </w:style>
  <w:style w:type="character" w:styleId="Hyperlink">
    <w:name w:val="Hyperlink"/>
    <w:uiPriority w:val="99"/>
    <w:rsid w:val="003C4BA9"/>
    <w:rPr>
      <w:rFonts w:cs="Times New Roman"/>
      <w:color w:val="0000FF"/>
      <w:u w:val="single"/>
    </w:rPr>
  </w:style>
  <w:style w:type="paragraph" w:styleId="ListParagraph">
    <w:name w:val="List Paragraph"/>
    <w:aliases w:val="List Paragraph1,ПАРАГРАФ,Абзац списка для документа,Абзац списка11,Цветной список - Акцент 11,СПИСОК,Второй абзац списка,Нумерация,Bullet List,FooterText,numbered,Paragraphe de liste1,lp1,Bullet 1"/>
    <w:basedOn w:val="Normal"/>
    <w:link w:val="ListParagraphChar"/>
    <w:uiPriority w:val="99"/>
    <w:qFormat/>
    <w:rsid w:val="003C4BA9"/>
    <w:pPr>
      <w:spacing w:after="160" w:line="256" w:lineRule="auto"/>
      <w:ind w:left="720"/>
      <w:contextualSpacing/>
    </w:pPr>
    <w:rPr>
      <w:rFonts w:ascii="Calibri" w:hAnsi="Calibri"/>
      <w:sz w:val="22"/>
      <w:szCs w:val="22"/>
      <w:lang w:eastAsia="en-US"/>
    </w:rPr>
  </w:style>
  <w:style w:type="character" w:customStyle="1" w:styleId="ListParagraphChar">
    <w:name w:val="List Paragraph Char"/>
    <w:aliases w:val="List Paragraph1 Char,ПАРАГРАФ Char,Абзац списка для документа Char,Абзац списка11 Char,Цветной список - Акцент 11 Char,СПИСОК Char,Второй абзац списка Char,Нумерация Char,Bullet List Char,FooterText Char,numbered Char,lp1 Char"/>
    <w:link w:val="ListParagraph"/>
    <w:uiPriority w:val="99"/>
    <w:locked/>
    <w:rsid w:val="003C4BA9"/>
    <w:rPr>
      <w:rFonts w:ascii="Calibri" w:hAnsi="Calibri"/>
      <w:sz w:val="22"/>
      <w:lang w:eastAsia="en-US"/>
    </w:rPr>
  </w:style>
  <w:style w:type="paragraph" w:styleId="Header">
    <w:name w:val="header"/>
    <w:basedOn w:val="Normal"/>
    <w:link w:val="HeaderChar"/>
    <w:uiPriority w:val="99"/>
    <w:unhideWhenUsed/>
    <w:rsid w:val="00657800"/>
    <w:pPr>
      <w:tabs>
        <w:tab w:val="center" w:pos="4680"/>
        <w:tab w:val="right" w:pos="9360"/>
      </w:tabs>
    </w:pPr>
  </w:style>
  <w:style w:type="character" w:customStyle="1" w:styleId="HeaderChar">
    <w:name w:val="Header Char"/>
    <w:link w:val="Header"/>
    <w:uiPriority w:val="99"/>
    <w:rsid w:val="00657800"/>
    <w:rPr>
      <w:sz w:val="28"/>
      <w:szCs w:val="24"/>
    </w:rPr>
  </w:style>
  <w:style w:type="paragraph" w:styleId="Footer">
    <w:name w:val="footer"/>
    <w:basedOn w:val="Normal"/>
    <w:link w:val="FooterChar"/>
    <w:uiPriority w:val="99"/>
    <w:unhideWhenUsed/>
    <w:rsid w:val="00657800"/>
    <w:pPr>
      <w:tabs>
        <w:tab w:val="center" w:pos="4680"/>
        <w:tab w:val="right" w:pos="9360"/>
      </w:tabs>
    </w:pPr>
  </w:style>
  <w:style w:type="character" w:customStyle="1" w:styleId="FooterChar">
    <w:name w:val="Footer Char"/>
    <w:link w:val="Footer"/>
    <w:uiPriority w:val="99"/>
    <w:rsid w:val="00657800"/>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ea.org/reports/world-energy-investment-20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imf.org/en/Publications/WEO/Issues/2020/06/24/WEOUpdateJune20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bc.ru/economics/03/04/2020/5e8787ba9a794735cc3eb76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economist.com/leaders/2019/12/21/which-nation-improved-the-most-in-201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conomist.com/leaders/2019/12/21/which-nation-improved-the-most-in-2019" TargetMode="External"/><Relationship Id="rId2" Type="http://schemas.openxmlformats.org/officeDocument/2006/relationships/hyperlink" Target="https://data.worldbank.org/indicator/NE.GDI.TOTL.%20CD?end=2018%20&amp;name_desc=true&amp;start=2006" TargetMode="External"/><Relationship Id="rId1" Type="http://schemas.openxmlformats.org/officeDocument/2006/relationships/hyperlink" Target="https://www.rbc.ru/economics/03/04/2020/5e8787ba9a794735cc3eb76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1E088-26C3-48C2-B8EC-0445F1116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1501</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PANDEMIYA  SHAROITIDA O‘ZBEKISTON RESPUBLIKASIDA INVESTITSION FAOLLIKNI OSHIRISHNING AYRIM JIHATLARI</vt:lpstr>
    </vt:vector>
  </TitlesOfParts>
  <Company/>
  <LinksUpToDate>false</LinksUpToDate>
  <CharactersWithSpaces>10037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PANDEMIYA  SHAROITIDA O‘ZBEKISTON RESPUBLIKASIDA INVESTITSION FAOLLIKNI OSHIRISHNING AYRIM JIHATLARI</dc:title>
  <dc:creator>HP</dc:creator>
  <cp:lastModifiedBy>pc</cp:lastModifiedBy>
  <cp:revision>6</cp:revision>
  <cp:lastPrinted>2020-11-11T15:04:00Z</cp:lastPrinted>
  <dcterms:created xsi:type="dcterms:W3CDTF">2020-11-10T08:18:00Z</dcterms:created>
  <dcterms:modified xsi:type="dcterms:W3CDTF">2020-11-11T15:21:00Z</dcterms:modified>
</cp:coreProperties>
</file>